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hint="eastAsia" w:ascii="Arial" w:hAnsi="Arial" w:cs="Arial"/>
          <w:b/>
          <w:sz w:val="22"/>
          <w:szCs w:val="22"/>
          <w:lang w:eastAsia="zh-CN"/>
        </w:rPr>
        <w:t>#9</w:t>
      </w:r>
      <w:r>
        <w:rPr>
          <w:rFonts w:ascii="Arial" w:hAnsi="Arial" w:cs="Arial"/>
          <w:b/>
          <w:sz w:val="22"/>
          <w:szCs w:val="22"/>
          <w:lang w:eastAsia="zh-CN"/>
        </w:rPr>
        <w:t>8bis</w:t>
      </w:r>
      <w:r>
        <w:rPr>
          <w:rFonts w:ascii="Arial" w:hAnsi="Arial" w:cs="Arial"/>
          <w:b/>
          <w:sz w:val="22"/>
          <w:szCs w:val="22"/>
        </w:rPr>
        <w:tab/>
      </w:r>
      <w:r>
        <w:rPr>
          <w:rFonts w:ascii="Arial" w:hAnsi="Arial" w:cs="Arial"/>
          <w:b/>
          <w:sz w:val="22"/>
          <w:szCs w:val="22"/>
        </w:rPr>
        <w:t>R1-1910107</w:t>
      </w:r>
    </w:p>
    <w:p>
      <w:pPr>
        <w:tabs>
          <w:tab w:val="right" w:pos="9630"/>
        </w:tabs>
        <w:spacing w:after="0"/>
        <w:rPr>
          <w:rFonts w:ascii="Arial" w:hAnsi="Arial" w:cs="Arial"/>
          <w:b/>
          <w:sz w:val="22"/>
          <w:szCs w:val="22"/>
        </w:rPr>
      </w:pPr>
      <w:r>
        <w:rPr>
          <w:rFonts w:ascii="Arial" w:hAnsi="Arial" w:cs="Arial"/>
          <w:b/>
          <w:sz w:val="22"/>
          <w:szCs w:val="22"/>
          <w:lang w:eastAsia="zh-CN"/>
        </w:rPr>
        <w:t>Chongqing</w:t>
      </w:r>
      <w:r>
        <w:rPr>
          <w:rFonts w:ascii="Arial" w:hAnsi="Arial" w:cs="Arial"/>
          <w:b/>
          <w:sz w:val="22"/>
          <w:szCs w:val="22"/>
        </w:rPr>
        <w:t>, China</w:t>
      </w:r>
      <w:r>
        <w:rPr>
          <w:rFonts w:hint="eastAsia" w:ascii="Arial" w:hAnsi="Arial" w:cs="Arial"/>
          <w:b/>
          <w:sz w:val="22"/>
          <w:szCs w:val="22"/>
          <w:lang w:eastAsia="zh-CN"/>
        </w:rPr>
        <w:t xml:space="preserve">, </w:t>
      </w:r>
      <w:r>
        <w:rPr>
          <w:rFonts w:ascii="Arial" w:hAnsi="Arial" w:cs="Arial"/>
          <w:b/>
          <w:sz w:val="22"/>
          <w:szCs w:val="22"/>
          <w:lang w:eastAsia="zh-CN"/>
        </w:rPr>
        <w:t>14</w:t>
      </w:r>
      <w:r>
        <w:rPr>
          <w:rFonts w:hint="eastAsia" w:ascii="Arial" w:hAnsi="Arial" w:cs="Arial"/>
          <w:b/>
          <w:sz w:val="22"/>
          <w:szCs w:val="22"/>
          <w:vertAlign w:val="superscript"/>
          <w:lang w:eastAsia="zh-CN"/>
        </w:rPr>
        <w:t>th</w:t>
      </w:r>
      <w:r>
        <w:rPr>
          <w:rFonts w:ascii="Arial" w:hAnsi="Arial" w:cs="Arial"/>
          <w:b/>
          <w:sz w:val="22"/>
          <w:szCs w:val="22"/>
        </w:rPr>
        <w:t xml:space="preserve"> – 20</w:t>
      </w:r>
      <w:r>
        <w:rPr>
          <w:rFonts w:hint="eastAsia" w:ascii="Arial" w:hAnsi="Arial" w:cs="Arial"/>
          <w:b/>
          <w:sz w:val="22"/>
          <w:szCs w:val="22"/>
          <w:vertAlign w:val="superscript"/>
          <w:lang w:eastAsia="zh-CN"/>
        </w:rPr>
        <w:t xml:space="preserve">th </w:t>
      </w:r>
      <w:r>
        <w:rPr>
          <w:rFonts w:ascii="Arial" w:hAnsi="Arial" w:cs="Arial"/>
          <w:b/>
          <w:sz w:val="22"/>
          <w:szCs w:val="22"/>
          <w:lang w:eastAsia="zh-CN"/>
        </w:rPr>
        <w:t>October</w:t>
      </w:r>
      <w:r>
        <w:rPr>
          <w:rFonts w:hint="eastAsia" w:ascii="Arial" w:hAnsi="Arial" w:cs="Arial"/>
          <w:b/>
          <w:sz w:val="22"/>
          <w:szCs w:val="22"/>
          <w:lang w:eastAsia="zh-CN"/>
        </w:rPr>
        <w:t>,</w:t>
      </w:r>
      <w:r>
        <w:rPr>
          <w:rFonts w:ascii="Arial" w:hAnsi="Arial" w:cs="Arial"/>
          <w:b/>
          <w:sz w:val="22"/>
          <w:szCs w:val="22"/>
        </w:rPr>
        <w:t xml:space="preserve"> 2019</w:t>
      </w:r>
      <w:r>
        <w:rPr>
          <w:rFonts w:ascii="Arial" w:hAnsi="Arial" w:cs="Arial"/>
          <w:b/>
          <w:sz w:val="22"/>
          <w:szCs w:val="22"/>
        </w:rPr>
        <w:tab/>
      </w:r>
    </w:p>
    <w:p>
      <w:pPr>
        <w:pStyle w:val="38"/>
        <w:jc w:val="both"/>
      </w:pP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rPr>
        <w:t xml:space="preserve">Discussion on </w:t>
      </w:r>
      <w:r>
        <w:rPr>
          <w:rFonts w:ascii="Arial" w:hAnsi="Arial"/>
          <w:b/>
        </w:rPr>
        <w:t xml:space="preserve">uplink </w:t>
      </w:r>
      <w:r>
        <w:rPr>
          <w:rFonts w:hint="eastAsia" w:ascii="Arial" w:hAnsi="Arial"/>
          <w:b/>
          <w:lang w:eastAsia="zh-CN"/>
        </w:rPr>
        <w:t>p</w:t>
      </w:r>
      <w:r>
        <w:rPr>
          <w:rFonts w:ascii="Arial" w:hAnsi="Arial"/>
          <w:b/>
          <w:lang w:eastAsia="zh-CN"/>
        </w:rPr>
        <w:t>ower control for NR-DC</w:t>
      </w:r>
    </w:p>
    <w:p>
      <w:pPr>
        <w:tabs>
          <w:tab w:val="left" w:pos="1985"/>
        </w:tabs>
        <w:spacing w:after="0"/>
        <w:rPr>
          <w:rFonts w:ascii="Arial" w:hAnsi="Arial"/>
          <w:b/>
          <w:lang w:eastAsia="zh-CN"/>
        </w:rPr>
      </w:pPr>
      <w:r>
        <w:rPr>
          <w:rFonts w:ascii="Arial" w:hAnsi="Arial"/>
          <w:b/>
        </w:rPr>
        <w:t>Agenda item:</w:t>
      </w:r>
      <w:r>
        <w:rPr>
          <w:rFonts w:ascii="Arial" w:hAnsi="Arial"/>
          <w:b/>
        </w:rPr>
        <w:tab/>
      </w:r>
      <w:r>
        <w:rPr>
          <w:rFonts w:ascii="Arial" w:hAnsi="Arial"/>
          <w:b/>
        </w:rPr>
        <w:t>7.2.13.</w:t>
      </w:r>
      <w:r>
        <w:rPr>
          <w:rFonts w:ascii="Arial" w:hAnsi="Arial"/>
          <w:b/>
          <w:lang w:eastAsia="zh-CN"/>
        </w:rPr>
        <w:t>1</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rPr>
          <w:lang w:val="en-GB"/>
        </w:rPr>
      </w:pPr>
      <w:r>
        <w:rPr>
          <w:lang w:val="en-GB"/>
        </w:rPr>
        <w:t>During RAN1#98 meeting, the following two agreements have been achieved. The motivation of the first agreements is to reuse the existing product design/implementation to the most extent</w:t>
      </w:r>
      <w:r>
        <w:rPr>
          <w:rFonts w:hint="eastAsia"/>
          <w:lang w:val="en-GB" w:eastAsia="zh-CN"/>
        </w:rPr>
        <w:t>，</w:t>
      </w:r>
      <w:r>
        <w:rPr>
          <w:lang w:val="en-GB"/>
        </w:rPr>
        <w:t xml:space="preserve">in other words, to reduce the implementation impact. As for the two alternatives of semi-static power sharing in the second agreements, similar solutions have already been specified in EN-DC and NE-DC, respectively. </w:t>
      </w:r>
    </w:p>
    <w:p>
      <w:pPr>
        <w:rPr>
          <w:lang w:val="en-GB"/>
        </w:rPr>
      </w:pPr>
      <w:r>
        <w:rPr>
          <w:lang w:val="en-GB"/>
        </w:rPr>
        <w:t>In this contribution, we present our analysis and preference on dynamic power sharing and semi-static power sharing, respectively.</w:t>
      </w:r>
    </w:p>
    <w:tbl>
      <w:tblPr>
        <w:tblStyle w:val="59"/>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8" w:type="dxa"/>
          </w:tcPr>
          <w:p>
            <w:pPr>
              <w:spacing w:before="0" w:after="0" w:line="240" w:lineRule="auto"/>
              <w:rPr>
                <w:rFonts w:ascii="New York" w:hAnsi="New York"/>
              </w:rPr>
            </w:pPr>
            <w:r>
              <w:rPr>
                <w:rFonts w:ascii="New York" w:hAnsi="New York"/>
                <w:highlight w:val="green"/>
              </w:rPr>
              <w:t>Agreements</w:t>
            </w:r>
            <w:r>
              <w:rPr>
                <w:rFonts w:ascii="New York" w:hAnsi="New York"/>
              </w:rPr>
              <w:t>:</w:t>
            </w:r>
          </w:p>
          <w:p>
            <w:pPr>
              <w:numPr>
                <w:ilvl w:val="0"/>
                <w:numId w:val="9"/>
              </w:numPr>
              <w:overflowPunct/>
              <w:autoSpaceDE/>
              <w:autoSpaceDN/>
              <w:adjustRightInd/>
              <w:spacing w:before="0" w:after="0" w:line="240" w:lineRule="auto"/>
              <w:jc w:val="left"/>
              <w:textAlignment w:val="auto"/>
              <w:rPr>
                <w:rFonts w:ascii="New York" w:hAnsi="New York"/>
              </w:rPr>
            </w:pPr>
            <w:r>
              <w:rPr>
                <w:rFonts w:ascii="New York" w:hAnsi="New York"/>
              </w:rPr>
              <w:t xml:space="preserve">Aim to reuse the existing CA power determination for uplink transmissions on CC(s) in a same CG. </w:t>
            </w:r>
          </w:p>
          <w:p>
            <w:pPr>
              <w:spacing w:before="0" w:after="0" w:line="240" w:lineRule="auto"/>
              <w:rPr>
                <w:rFonts w:ascii="New York" w:hAnsi="New York"/>
                <w:lang w:val="en-GB"/>
              </w:rPr>
            </w:pPr>
          </w:p>
          <w:p>
            <w:pPr>
              <w:spacing w:before="0" w:after="0" w:line="240" w:lineRule="auto"/>
              <w:rPr>
                <w:rFonts w:ascii="New York" w:hAnsi="New York"/>
                <w:highlight w:val="green"/>
              </w:rPr>
            </w:pPr>
            <w:r>
              <w:rPr>
                <w:rFonts w:ascii="New York" w:hAnsi="New York"/>
                <w:highlight w:val="green"/>
              </w:rPr>
              <w:t>Agreements:</w:t>
            </w:r>
          </w:p>
          <w:p>
            <w:pPr>
              <w:numPr>
                <w:ilvl w:val="0"/>
                <w:numId w:val="9"/>
              </w:numPr>
              <w:overflowPunct/>
              <w:autoSpaceDE/>
              <w:autoSpaceDN/>
              <w:adjustRightInd/>
              <w:spacing w:before="0" w:after="0" w:line="240" w:lineRule="auto"/>
              <w:jc w:val="left"/>
              <w:textAlignment w:val="auto"/>
              <w:rPr>
                <w:rFonts w:ascii="New York" w:hAnsi="New York"/>
              </w:rPr>
            </w:pPr>
            <w:r>
              <w:rPr>
                <w:rFonts w:ascii="New York" w:hAnsi="New York"/>
              </w:rPr>
              <w:t>Slide 3 of R1-1909864 is agreed</w:t>
            </w:r>
          </w:p>
          <w:p>
            <w:pPr>
              <w:spacing w:before="0" w:after="0" w:line="240" w:lineRule="auto"/>
              <w:rPr>
                <w:rFonts w:ascii="New York" w:hAnsi="New York"/>
                <w:lang w:val="en-GB"/>
              </w:rPr>
            </w:pPr>
            <w:r>
              <w:rPr>
                <w:rFonts w:ascii="New York" w:hAnsi="New York"/>
                <w:lang w:val="en-GB"/>
              </w:rPr>
              <w:t xml:space="preserve">Considering the following two alternatives for semi-static power sharing with </w:t>
            </w:r>
            <m:oMath>
              <m:sSub>
                <m:sSubPr>
                  <m:ctrlPr>
                    <w:rPr>
                      <w:rFonts w:ascii="Cambria Math" w:hAnsi="Cambria Math"/>
                      <w:i/>
                      <w:iCs/>
                      <w:lang w:val="en-GB"/>
                    </w:rPr>
                  </m:ctrlPr>
                </m:sSubPr>
                <m:e>
                  <m:r>
                    <m:rPr>
                      <m:sty m:val="p"/>
                    </m:rPr>
                    <w:rPr>
                      <w:rFonts w:ascii="Cambria Math" w:hAnsi="Cambria Math"/>
                      <w:lang w:val="en-GB"/>
                    </w:rPr>
                    <m:t>P</m:t>
                  </m:r>
                  <m:ctrlPr>
                    <w:rPr>
                      <w:rFonts w:ascii="Cambria Math" w:hAnsi="Cambria Math"/>
                      <w:i/>
                      <w:iCs/>
                      <w:lang w:val="en-GB"/>
                    </w:rPr>
                  </m:ctrlPr>
                </m:e>
                <m:sub>
                  <m:r>
                    <m:rPr>
                      <m:sty m:val="p"/>
                    </m:rPr>
                    <w:rPr>
                      <w:rFonts w:ascii="Cambria Math" w:hAnsi="Cambria Math"/>
                      <w:lang w:val="en-GB"/>
                    </w:rPr>
                    <m:t>MCG</m:t>
                  </m:r>
                  <m:ctrlPr>
                    <w:rPr>
                      <w:rFonts w:ascii="Cambria Math" w:hAnsi="Cambria Math"/>
                      <w:i/>
                      <w:iCs/>
                      <w:lang w:val="en-GB"/>
                    </w:rPr>
                  </m:ctrlPr>
                </m:sub>
              </m:sSub>
            </m:oMath>
            <w:r>
              <w:rPr>
                <w:rFonts w:ascii="New York" w:hAnsi="New York"/>
                <w:lang w:val="en-GB"/>
              </w:rPr>
              <w:t xml:space="preserve">+ </w:t>
            </w:r>
            <m:oMath>
              <m:sSub>
                <m:sSubPr>
                  <m:ctrlPr>
                    <w:rPr>
                      <w:rFonts w:ascii="Cambria Math" w:hAnsi="Cambria Math"/>
                      <w:i/>
                      <w:iCs/>
                      <w:lang w:val="en-GB"/>
                    </w:rPr>
                  </m:ctrlPr>
                </m:sSubPr>
                <m:e>
                  <m:r>
                    <m:rPr>
                      <m:sty m:val="p"/>
                    </m:rPr>
                    <w:rPr>
                      <w:rFonts w:ascii="Cambria Math" w:hAnsi="Cambria Math"/>
                      <w:lang w:val="en-GB"/>
                    </w:rPr>
                    <m:t>P</m:t>
                  </m:r>
                  <m:ctrlPr>
                    <w:rPr>
                      <w:rFonts w:ascii="Cambria Math" w:hAnsi="Cambria Math"/>
                      <w:i/>
                      <w:iCs/>
                      <w:lang w:val="en-GB"/>
                    </w:rPr>
                  </m:ctrlPr>
                </m:e>
                <m:sub>
                  <m:r>
                    <m:rPr>
                      <m:sty m:val="p"/>
                    </m:rPr>
                    <w:rPr>
                      <w:rFonts w:ascii="Cambria Math" w:hAnsi="Cambria Math"/>
                      <w:lang w:val="en-GB"/>
                    </w:rPr>
                    <m:t>SCG</m:t>
                  </m:r>
                  <m:ctrlPr>
                    <w:rPr>
                      <w:rFonts w:ascii="Cambria Math" w:hAnsi="Cambria Math"/>
                      <w:i/>
                      <w:iCs/>
                      <w:lang w:val="en-GB"/>
                    </w:rPr>
                  </m:ctrlPr>
                </m:sub>
              </m:sSub>
              <m:r>
                <w:rPr>
                  <w:rFonts w:ascii="Cambria Math" w:hAnsi="Cambria Math"/>
                  <w:lang w:val="en-GB"/>
                </w:rPr>
                <m:t>≤</m:t>
              </m:r>
              <m:sSubSup>
                <m:sSubSupPr>
                  <m:ctrlPr>
                    <w:rPr>
                      <w:rFonts w:ascii="Cambria Math" w:hAnsi="Cambria Math"/>
                      <w:i/>
                      <w:iCs/>
                      <w:lang w:val="en-GB"/>
                    </w:rPr>
                  </m:ctrlPr>
                </m:sSubSupPr>
                <m:e>
                  <m:r>
                    <w:rPr>
                      <w:rFonts w:ascii="Cambria Math" w:hAnsi="Cambria Math"/>
                      <w:lang w:val="en-GB"/>
                    </w:rPr>
                    <m:t>P</m:t>
                  </m:r>
                  <m:ctrlPr>
                    <w:rPr>
                      <w:rFonts w:ascii="Cambria Math" w:hAnsi="Cambria Math"/>
                      <w:i/>
                      <w:iCs/>
                      <w:lang w:val="en-GB"/>
                    </w:rPr>
                  </m:ctrlPr>
                </m:e>
                <m:sub>
                  <m:r>
                    <w:rPr>
                      <w:rFonts w:ascii="Cambria Math" w:hAnsi="Cambria Math"/>
                      <w:lang w:val="en-GB"/>
                    </w:rPr>
                    <m:t>Total</m:t>
                  </m:r>
                  <m:ctrlPr>
                    <w:rPr>
                      <w:rFonts w:ascii="Cambria Math" w:hAnsi="Cambria Math"/>
                      <w:i/>
                      <w:iCs/>
                      <w:lang w:val="en-GB"/>
                    </w:rPr>
                  </m:ctrlPr>
                </m:sub>
                <m:sup>
                  <m:r>
                    <w:rPr>
                      <w:rFonts w:ascii="Cambria Math" w:hAnsi="Cambria Math"/>
                      <w:lang w:val="en-GB"/>
                    </w:rPr>
                    <m:t>NN- DC</m:t>
                  </m:r>
                  <m:ctrlPr>
                    <w:rPr>
                      <w:rFonts w:ascii="Cambria Math" w:hAnsi="Cambria Math"/>
                      <w:i/>
                      <w:iCs/>
                      <w:lang w:val="en-GB"/>
                    </w:rPr>
                  </m:ctrlPr>
                </m:sup>
              </m:sSubSup>
            </m:oMath>
          </w:p>
          <w:p>
            <w:pPr>
              <w:numPr>
                <w:ilvl w:val="1"/>
                <w:numId w:val="9"/>
              </w:numPr>
              <w:spacing w:before="0" w:after="0" w:line="240" w:lineRule="auto"/>
              <w:rPr>
                <w:rFonts w:ascii="New York" w:hAnsi="New York"/>
                <w:lang w:val="en-GB"/>
              </w:rPr>
            </w:pPr>
            <w:r>
              <w:rPr>
                <w:rFonts w:ascii="New York" w:hAnsi="New York"/>
                <w:lang w:val="en-GB"/>
              </w:rPr>
              <w:t>Alt.1: For the uplink transmission in MCG, the UE checks the semi-statically configured direction of the overlapping symbols of all serving cells of SCG, and vice versa.</w:t>
            </w:r>
          </w:p>
          <w:p>
            <w:pPr>
              <w:numPr>
                <w:ilvl w:val="2"/>
                <w:numId w:val="9"/>
              </w:numPr>
              <w:spacing w:before="0" w:after="0" w:line="240" w:lineRule="auto"/>
              <w:rPr>
                <w:rFonts w:ascii="New York" w:hAnsi="New York"/>
                <w:lang w:val="en-GB"/>
              </w:rPr>
            </w:pPr>
            <w:r>
              <w:rPr>
                <w:rFonts w:ascii="New York" w:hAnsi="New York"/>
                <w:lang w:val="en-GB"/>
              </w:rPr>
              <w:t xml:space="preserve">If such overlapping with UL transmission on the SCG is possible (i.e. collides with semi-static ‘UL’ and ‘flexible’ symbols on some CCs of SCG), UE limits its actual transmission power </w:t>
            </w:r>
            <m:oMath>
              <m:sSub>
                <m:sSubPr>
                  <m:ctrlPr>
                    <w:rPr>
                      <w:rFonts w:ascii="Cambria Math" w:hAnsi="Cambria Math"/>
                      <w:i/>
                      <w:iCs/>
                      <w:lang w:val="en-GB"/>
                    </w:rPr>
                  </m:ctrlPr>
                </m:sSubPr>
                <m:e>
                  <m:r>
                    <m:rPr>
                      <m:sty m:val="p"/>
                    </m:rPr>
                    <w:rPr>
                      <w:rFonts w:ascii="Cambria Math" w:hAnsi="Cambria Math"/>
                      <w:lang w:val="en-GB"/>
                    </w:rPr>
                    <m:t>p</m:t>
                  </m:r>
                  <m:ctrlPr>
                    <w:rPr>
                      <w:rFonts w:ascii="Cambria Math" w:hAnsi="Cambria Math"/>
                      <w:i/>
                      <w:iCs/>
                      <w:lang w:val="en-GB"/>
                    </w:rPr>
                  </m:ctrlPr>
                </m:e>
                <m:sub>
                  <m:r>
                    <m:rPr>
                      <m:sty m:val="p"/>
                    </m:rPr>
                    <w:rPr>
                      <w:rFonts w:ascii="Cambria Math" w:hAnsi="Cambria Math"/>
                      <w:lang w:val="en-GB"/>
                    </w:rPr>
                    <m:t>MCG</m:t>
                  </m:r>
                  <m:ctrlPr>
                    <w:rPr>
                      <w:rFonts w:ascii="Cambria Math" w:hAnsi="Cambria Math"/>
                      <w:i/>
                      <w:iCs/>
                      <w:lang w:val="en-GB"/>
                    </w:rPr>
                  </m:ctrlPr>
                </m:sub>
              </m:sSub>
            </m:oMath>
            <w:r>
              <w:rPr>
                <w:rFonts w:ascii="New York" w:hAnsi="New York"/>
                <w:lang w:val="en-GB"/>
              </w:rPr>
              <w:t xml:space="preserve">in MCG such that </w:t>
            </w:r>
            <m:oMath>
              <m:sSub>
                <m:sSubPr>
                  <m:ctrlPr>
                    <w:rPr>
                      <w:rFonts w:ascii="Cambria Math" w:hAnsi="Cambria Math"/>
                      <w:i/>
                      <w:iCs/>
                      <w:lang w:val="en-GB"/>
                    </w:rPr>
                  </m:ctrlPr>
                </m:sSubPr>
                <m:e>
                  <m:r>
                    <m:rPr>
                      <m:sty m:val="p"/>
                    </m:rPr>
                    <w:rPr>
                      <w:rFonts w:ascii="Cambria Math" w:hAnsi="Cambria Math"/>
                      <w:lang w:val="en-GB"/>
                    </w:rPr>
                    <m:t>p</m:t>
                  </m:r>
                  <m:ctrlPr>
                    <w:rPr>
                      <w:rFonts w:ascii="Cambria Math" w:hAnsi="Cambria Math"/>
                      <w:i/>
                      <w:iCs/>
                      <w:lang w:val="en-GB"/>
                    </w:rPr>
                  </m:ctrlPr>
                </m:e>
                <m:sub>
                  <m:r>
                    <m:rPr>
                      <m:sty m:val="p"/>
                    </m:rPr>
                    <w:rPr>
                      <w:rFonts w:ascii="Cambria Math" w:hAnsi="Cambria Math"/>
                      <w:lang w:val="en-GB"/>
                    </w:rPr>
                    <m:t>MCG</m:t>
                  </m:r>
                  <m:ctrlPr>
                    <w:rPr>
                      <w:rFonts w:ascii="Cambria Math" w:hAnsi="Cambria Math"/>
                      <w:i/>
                      <w:iCs/>
                      <w:lang w:val="en-GB"/>
                    </w:rPr>
                  </m:ctrlPr>
                </m:sub>
              </m:sSub>
              <m:r>
                <m:rPr>
                  <m:sty m:val="p"/>
                </m:rPr>
                <w:rPr>
                  <w:rFonts w:ascii="Cambria Math" w:hAnsi="Cambria Math"/>
                  <w:lang w:val="en-GB"/>
                </w:rPr>
                <m:t>≤</m:t>
              </m:r>
              <m:sSub>
                <m:sSubPr>
                  <m:ctrlPr>
                    <w:rPr>
                      <w:rFonts w:ascii="Cambria Math" w:hAnsi="Cambria Math"/>
                      <w:i/>
                      <w:iCs/>
                      <w:lang w:val="en-GB"/>
                    </w:rPr>
                  </m:ctrlPr>
                </m:sSubPr>
                <m:e>
                  <m:r>
                    <m:rPr>
                      <m:sty m:val="p"/>
                    </m:rPr>
                    <w:rPr>
                      <w:rFonts w:ascii="Cambria Math" w:hAnsi="Cambria Math"/>
                      <w:lang w:val="en-GB"/>
                    </w:rPr>
                    <m:t>P</m:t>
                  </m:r>
                  <m:ctrlPr>
                    <w:rPr>
                      <w:rFonts w:ascii="Cambria Math" w:hAnsi="Cambria Math"/>
                      <w:i/>
                      <w:iCs/>
                      <w:lang w:val="en-GB"/>
                    </w:rPr>
                  </m:ctrlPr>
                </m:e>
                <m:sub>
                  <m:r>
                    <m:rPr>
                      <m:sty m:val="p"/>
                    </m:rPr>
                    <w:rPr>
                      <w:rFonts w:ascii="Cambria Math" w:hAnsi="Cambria Math"/>
                      <w:lang w:val="en-GB"/>
                    </w:rPr>
                    <m:t>MCG</m:t>
                  </m:r>
                  <m:ctrlPr>
                    <w:rPr>
                      <w:rFonts w:ascii="Cambria Math" w:hAnsi="Cambria Math"/>
                      <w:i/>
                      <w:iCs/>
                      <w:lang w:val="en-GB"/>
                    </w:rPr>
                  </m:ctrlPr>
                </m:sub>
              </m:sSub>
            </m:oMath>
            <w:r>
              <w:rPr>
                <w:rFonts w:ascii="New York" w:hAnsi="New York"/>
                <w:lang w:val="en-GB"/>
              </w:rPr>
              <w:t xml:space="preserve">; </w:t>
            </w:r>
          </w:p>
          <w:p>
            <w:pPr>
              <w:numPr>
                <w:ilvl w:val="2"/>
                <w:numId w:val="9"/>
              </w:numPr>
              <w:spacing w:before="0" w:after="0" w:line="240" w:lineRule="auto"/>
              <w:rPr>
                <w:rFonts w:ascii="New York" w:hAnsi="New York"/>
                <w:lang w:val="en-GB"/>
              </w:rPr>
            </w:pPr>
            <w:r>
              <w:rPr>
                <w:rFonts w:ascii="New York" w:hAnsi="New York"/>
                <w:lang w:val="en-GB"/>
              </w:rPr>
              <w:t xml:space="preserve">Otherwise (i.e. collides with only semi-static ‘DL’ symbols on all CCs of SCG), </w:t>
            </w:r>
            <m:oMath>
              <m:sSub>
                <m:sSubPr>
                  <m:ctrlPr>
                    <w:rPr>
                      <w:rFonts w:ascii="Cambria Math" w:hAnsi="Cambria Math"/>
                      <w:i/>
                      <w:iCs/>
                      <w:lang w:val="en-GB"/>
                    </w:rPr>
                  </m:ctrlPr>
                </m:sSubPr>
                <m:e>
                  <m:r>
                    <m:rPr>
                      <m:sty m:val="p"/>
                    </m:rPr>
                    <w:rPr>
                      <w:rFonts w:ascii="Cambria Math" w:hAnsi="Cambria Math"/>
                      <w:lang w:val="en-GB"/>
                    </w:rPr>
                    <m:t>p</m:t>
                  </m:r>
                  <m:ctrlPr>
                    <w:rPr>
                      <w:rFonts w:ascii="Cambria Math" w:hAnsi="Cambria Math"/>
                      <w:i/>
                      <w:iCs/>
                      <w:lang w:val="en-GB"/>
                    </w:rPr>
                  </m:ctrlPr>
                </m:e>
                <m:sub>
                  <m:r>
                    <m:rPr>
                      <m:sty m:val="p"/>
                    </m:rPr>
                    <w:rPr>
                      <w:rFonts w:ascii="Cambria Math" w:hAnsi="Cambria Math"/>
                      <w:lang w:val="en-GB"/>
                    </w:rPr>
                    <m:t>MCG</m:t>
                  </m:r>
                  <m:ctrlPr>
                    <w:rPr>
                      <w:rFonts w:ascii="Cambria Math" w:hAnsi="Cambria Math"/>
                      <w:i/>
                      <w:iCs/>
                      <w:lang w:val="en-GB"/>
                    </w:rPr>
                  </m:ctrlPr>
                </m:sub>
              </m:sSub>
            </m:oMath>
            <w:r>
              <w:rPr>
                <w:rFonts w:ascii="New York" w:hAnsi="New York"/>
                <w:lang w:val="en-GB"/>
              </w:rPr>
              <w:t xml:space="preserve"> can be up to </w:t>
            </w:r>
            <m:oMath>
              <m:sSubSup>
                <m:sSubSupPr>
                  <m:ctrlPr>
                    <w:rPr>
                      <w:rFonts w:ascii="Cambria Math" w:hAnsi="Cambria Math"/>
                      <w:i/>
                      <w:iCs/>
                      <w:lang w:val="en-GB"/>
                    </w:rPr>
                  </m:ctrlPr>
                </m:sSubSupPr>
                <m:e>
                  <m:r>
                    <m:rPr>
                      <m:sty m:val="p"/>
                    </m:rPr>
                    <w:rPr>
                      <w:rFonts w:ascii="Cambria Math" w:hAnsi="Cambria Math"/>
                      <w:lang w:val="en-GB"/>
                    </w:rPr>
                    <m:t>P</m:t>
                  </m:r>
                  <m:ctrlPr>
                    <w:rPr>
                      <w:rFonts w:ascii="Cambria Math" w:hAnsi="Cambria Math"/>
                      <w:i/>
                      <w:iCs/>
                      <w:lang w:val="en-GB"/>
                    </w:rPr>
                  </m:ctrlPr>
                </m:e>
                <m:sub>
                  <m:r>
                    <m:rPr>
                      <m:sty m:val="p"/>
                    </m:rPr>
                    <w:rPr>
                      <w:rFonts w:ascii="Cambria Math" w:hAnsi="Cambria Math"/>
                      <w:lang w:val="en-GB"/>
                    </w:rPr>
                    <m:t>MCG</m:t>
                  </m:r>
                  <m:ctrlPr>
                    <w:rPr>
                      <w:rFonts w:ascii="Cambria Math" w:hAnsi="Cambria Math"/>
                      <w:i/>
                      <w:iCs/>
                      <w:lang w:val="en-GB"/>
                    </w:rPr>
                  </m:ctrlPr>
                </m:sub>
                <m:sup>
                  <m:r>
                    <m:rPr>
                      <m:sty m:val="p"/>
                    </m:rPr>
                    <w:rPr>
                      <w:rFonts w:ascii="Cambria Math" w:hAnsi="Cambria Math"/>
                      <w:lang w:val="en-GB"/>
                    </w:rPr>
                    <m:t>'</m:t>
                  </m:r>
                  <m:ctrlPr>
                    <w:rPr>
                      <w:rFonts w:ascii="Cambria Math" w:hAnsi="Cambria Math"/>
                      <w:i/>
                      <w:iCs/>
                      <w:lang w:val="en-GB"/>
                    </w:rPr>
                  </m:ctrlPr>
                </m:sup>
              </m:sSubSup>
            </m:oMath>
            <w:r>
              <w:rPr>
                <w:rFonts w:ascii="New York" w:hAnsi="New York"/>
                <w:lang w:val="en-GB"/>
              </w:rPr>
              <w:t xml:space="preserve"> and  </w:t>
            </w:r>
            <m:oMath>
              <m:sSub>
                <m:sSubPr>
                  <m:ctrlPr>
                    <w:rPr>
                      <w:rFonts w:ascii="Cambria Math" w:hAnsi="Cambria Math"/>
                      <w:i/>
                      <w:iCs/>
                      <w:lang w:val="en-GB"/>
                    </w:rPr>
                  </m:ctrlPr>
                </m:sSubPr>
                <m:e>
                  <m:r>
                    <m:rPr>
                      <m:sty m:val="p"/>
                    </m:rPr>
                    <w:rPr>
                      <w:rFonts w:ascii="Cambria Math" w:hAnsi="Cambria Math"/>
                      <w:lang w:val="en-GB"/>
                    </w:rPr>
                    <m:t>p</m:t>
                  </m:r>
                  <m:ctrlPr>
                    <w:rPr>
                      <w:rFonts w:ascii="Cambria Math" w:hAnsi="Cambria Math"/>
                      <w:i/>
                      <w:iCs/>
                      <w:lang w:val="en-GB"/>
                    </w:rPr>
                  </m:ctrlPr>
                </m:e>
                <m:sub>
                  <m:r>
                    <m:rPr>
                      <m:sty m:val="p"/>
                    </m:rPr>
                    <w:rPr>
                      <w:rFonts w:ascii="Cambria Math" w:hAnsi="Cambria Math"/>
                      <w:lang w:val="en-GB"/>
                    </w:rPr>
                    <m:t>SCG</m:t>
                  </m:r>
                  <m:ctrlPr>
                    <w:rPr>
                      <w:rFonts w:ascii="Cambria Math" w:hAnsi="Cambria Math"/>
                      <w:i/>
                      <w:iCs/>
                      <w:lang w:val="en-GB"/>
                    </w:rPr>
                  </m:ctrlPr>
                </m:sub>
              </m:sSub>
            </m:oMath>
            <w:r>
              <w:rPr>
                <w:rFonts w:ascii="New York" w:hAnsi="New York"/>
                <w:lang w:val="en-GB"/>
              </w:rPr>
              <w:t xml:space="preserve"> can be up to </w:t>
            </w:r>
            <m:oMath>
              <m:r>
                <m:rPr>
                  <m:sty m:val="p"/>
                </m:rPr>
                <w:rPr>
                  <w:rFonts w:ascii="Cambria Math" w:hAnsi="Cambria Math"/>
                  <w:lang w:val="en-GB"/>
                </w:rPr>
                <m:t> </m:t>
              </m:r>
              <m:sSubSup>
                <m:sSubSupPr>
                  <m:ctrlPr>
                    <w:rPr>
                      <w:rFonts w:ascii="Cambria Math" w:hAnsi="Cambria Math"/>
                      <w:i/>
                      <w:iCs/>
                      <w:lang w:val="en-GB"/>
                    </w:rPr>
                  </m:ctrlPr>
                </m:sSubSupPr>
                <m:e>
                  <m:r>
                    <m:rPr>
                      <m:sty m:val="p"/>
                    </m:rPr>
                    <w:rPr>
                      <w:rFonts w:ascii="Cambria Math" w:hAnsi="Cambria Math"/>
                      <w:lang w:val="en-GB"/>
                    </w:rPr>
                    <m:t>P</m:t>
                  </m:r>
                  <m:ctrlPr>
                    <w:rPr>
                      <w:rFonts w:ascii="Cambria Math" w:hAnsi="Cambria Math"/>
                      <w:i/>
                      <w:iCs/>
                      <w:lang w:val="en-GB"/>
                    </w:rPr>
                  </m:ctrlPr>
                </m:e>
                <m:sub>
                  <m:r>
                    <m:rPr>
                      <m:sty m:val="p"/>
                    </m:rPr>
                    <w:rPr>
                      <w:rFonts w:ascii="Cambria Math" w:hAnsi="Cambria Math"/>
                      <w:lang w:val="en-GB"/>
                    </w:rPr>
                    <m:t>SCG</m:t>
                  </m:r>
                  <m:ctrlPr>
                    <w:rPr>
                      <w:rFonts w:ascii="Cambria Math" w:hAnsi="Cambria Math"/>
                      <w:i/>
                      <w:iCs/>
                      <w:lang w:val="en-GB"/>
                    </w:rPr>
                  </m:ctrlPr>
                </m:sub>
                <m:sup>
                  <m:r>
                    <m:rPr>
                      <m:sty m:val="p"/>
                    </m:rPr>
                    <w:rPr>
                      <w:rFonts w:ascii="Cambria Math" w:hAnsi="Cambria Math"/>
                      <w:lang w:val="en-GB"/>
                    </w:rPr>
                    <m:t>'</m:t>
                  </m:r>
                  <m:ctrlPr>
                    <w:rPr>
                      <w:rFonts w:ascii="Cambria Math" w:hAnsi="Cambria Math"/>
                      <w:i/>
                      <w:iCs/>
                      <w:lang w:val="en-GB"/>
                    </w:rPr>
                  </m:ctrlPr>
                </m:sup>
              </m:sSubSup>
            </m:oMath>
            <w:r>
              <w:rPr>
                <w:rFonts w:ascii="New York" w:hAnsi="New York"/>
                <w:lang w:val="en-GB"/>
              </w:rPr>
              <w:t xml:space="preserve">  .</w:t>
            </w:r>
          </w:p>
          <w:p>
            <w:pPr>
              <w:numPr>
                <w:ilvl w:val="3"/>
                <w:numId w:val="9"/>
              </w:numPr>
              <w:spacing w:before="0" w:after="0" w:line="240" w:lineRule="auto"/>
              <w:rPr>
                <w:rFonts w:ascii="New York" w:hAnsi="New York"/>
                <w:lang w:val="en-GB"/>
              </w:rPr>
            </w:pPr>
            <w:r>
              <w:rPr>
                <w:rFonts w:ascii="New York" w:hAnsi="New York"/>
                <w:lang w:val="en-GB"/>
              </w:rPr>
              <w:t xml:space="preserve">Alt.1-1:  </w:t>
            </w:r>
            <m:oMath>
              <m:sSubSup>
                <m:sSubSupPr>
                  <m:ctrlPr>
                    <w:rPr>
                      <w:rFonts w:ascii="Cambria Math" w:hAnsi="Cambria Math"/>
                      <w:i/>
                      <w:iCs/>
                      <w:lang w:val="en-GB"/>
                    </w:rPr>
                  </m:ctrlPr>
                </m:sSubSupPr>
                <m:e>
                  <m:r>
                    <m:rPr>
                      <m:sty m:val="p"/>
                    </m:rPr>
                    <w:rPr>
                      <w:rFonts w:ascii="Cambria Math" w:hAnsi="Cambria Math"/>
                      <w:lang w:val="en-GB"/>
                    </w:rPr>
                    <m:t>P</m:t>
                  </m:r>
                  <m:ctrlPr>
                    <w:rPr>
                      <w:rFonts w:ascii="Cambria Math" w:hAnsi="Cambria Math"/>
                      <w:i/>
                      <w:iCs/>
                      <w:lang w:val="en-GB"/>
                    </w:rPr>
                  </m:ctrlPr>
                </m:e>
                <m:sub>
                  <m:r>
                    <m:rPr>
                      <m:sty m:val="p"/>
                    </m:rPr>
                    <w:rPr>
                      <w:rFonts w:ascii="Cambria Math" w:hAnsi="Cambria Math"/>
                      <w:lang w:val="en-GB"/>
                    </w:rPr>
                    <m:t>MCG</m:t>
                  </m:r>
                  <m:ctrlPr>
                    <w:rPr>
                      <w:rFonts w:ascii="Cambria Math" w:hAnsi="Cambria Math"/>
                      <w:i/>
                      <w:iCs/>
                      <w:lang w:val="en-GB"/>
                    </w:rPr>
                  </m:ctrlPr>
                </m:sub>
                <m:sup>
                  <m:r>
                    <m:rPr>
                      <m:sty m:val="p"/>
                    </m:rPr>
                    <w:rPr>
                      <w:rFonts w:ascii="Cambria Math" w:hAnsi="Cambria Math"/>
                      <w:lang w:val="en-GB"/>
                    </w:rPr>
                    <m:t>'</m:t>
                  </m:r>
                  <m:ctrlPr>
                    <w:rPr>
                      <w:rFonts w:ascii="Cambria Math" w:hAnsi="Cambria Math"/>
                      <w:i/>
                      <w:iCs/>
                      <w:lang w:val="en-GB"/>
                    </w:rPr>
                  </m:ctrlPr>
                </m:sup>
              </m:sSubSup>
            </m:oMath>
            <w:r>
              <w:rPr>
                <w:rFonts w:ascii="New York" w:hAnsi="New York"/>
                <w:lang w:val="en-GB"/>
              </w:rPr>
              <w:t xml:space="preserve"> and </w:t>
            </w:r>
            <m:oMath>
              <m:sSubSup>
                <m:sSubSupPr>
                  <m:ctrlPr>
                    <w:rPr>
                      <w:rFonts w:ascii="Cambria Math" w:hAnsi="Cambria Math"/>
                      <w:i/>
                      <w:iCs/>
                      <w:lang w:val="en-GB"/>
                    </w:rPr>
                  </m:ctrlPr>
                </m:sSubSupPr>
                <m:e>
                  <m:r>
                    <m:rPr>
                      <m:sty m:val="p"/>
                    </m:rPr>
                    <w:rPr>
                      <w:rFonts w:ascii="Cambria Math" w:hAnsi="Cambria Math"/>
                      <w:lang w:val="en-GB"/>
                    </w:rPr>
                    <m:t>P</m:t>
                  </m:r>
                  <m:ctrlPr>
                    <w:rPr>
                      <w:rFonts w:ascii="Cambria Math" w:hAnsi="Cambria Math"/>
                      <w:i/>
                      <w:iCs/>
                      <w:lang w:val="en-GB"/>
                    </w:rPr>
                  </m:ctrlPr>
                </m:e>
                <m:sub>
                  <m:r>
                    <m:rPr>
                      <m:sty m:val="p"/>
                    </m:rPr>
                    <w:rPr>
                      <w:rFonts w:ascii="Cambria Math" w:hAnsi="Cambria Math"/>
                      <w:lang w:val="en-GB"/>
                    </w:rPr>
                    <m:t>SCG</m:t>
                  </m:r>
                  <m:ctrlPr>
                    <w:rPr>
                      <w:rFonts w:ascii="Cambria Math" w:hAnsi="Cambria Math"/>
                      <w:i/>
                      <w:iCs/>
                      <w:lang w:val="en-GB"/>
                    </w:rPr>
                  </m:ctrlPr>
                </m:sub>
                <m:sup>
                  <m:r>
                    <m:rPr>
                      <m:sty m:val="p"/>
                    </m:rPr>
                    <w:rPr>
                      <w:rFonts w:ascii="Cambria Math" w:hAnsi="Cambria Math"/>
                      <w:lang w:val="en-GB"/>
                    </w:rPr>
                    <m:t>'</m:t>
                  </m:r>
                  <m:ctrlPr>
                    <w:rPr>
                      <w:rFonts w:ascii="Cambria Math" w:hAnsi="Cambria Math"/>
                      <w:i/>
                      <w:iCs/>
                      <w:lang w:val="en-GB"/>
                    </w:rPr>
                  </m:ctrlPr>
                </m:sup>
              </m:sSubSup>
            </m:oMath>
            <w:r>
              <w:rPr>
                <w:rFonts w:ascii="New York" w:hAnsi="New York"/>
                <w:lang w:val="en-GB"/>
              </w:rPr>
              <w:t xml:space="preserve">  are configured by RRC signaling. </w:t>
            </w:r>
          </w:p>
          <w:p>
            <w:pPr>
              <w:numPr>
                <w:ilvl w:val="3"/>
                <w:numId w:val="9"/>
              </w:numPr>
              <w:spacing w:before="0" w:after="0" w:line="240" w:lineRule="auto"/>
              <w:rPr>
                <w:rFonts w:ascii="New York" w:hAnsi="New York"/>
                <w:lang w:val="en-GB"/>
              </w:rPr>
            </w:pPr>
            <w:r>
              <w:rPr>
                <w:rFonts w:ascii="New York" w:hAnsi="New York"/>
                <w:lang w:val="en-GB"/>
              </w:rPr>
              <w:t xml:space="preserve">Alt.1-2:  </w:t>
            </w:r>
            <m:oMath>
              <m:sSubSup>
                <m:sSubSupPr>
                  <m:ctrlPr>
                    <w:rPr>
                      <w:rFonts w:ascii="Cambria Math" w:hAnsi="Cambria Math"/>
                      <w:i/>
                      <w:iCs/>
                      <w:lang w:val="en-GB"/>
                    </w:rPr>
                  </m:ctrlPr>
                </m:sSubSupPr>
                <m:e>
                  <m:r>
                    <m:rPr>
                      <m:sty m:val="p"/>
                    </m:rPr>
                    <w:rPr>
                      <w:rFonts w:ascii="Cambria Math" w:hAnsi="Cambria Math"/>
                      <w:lang w:val="en-GB"/>
                    </w:rPr>
                    <m:t>P</m:t>
                  </m:r>
                  <m:ctrlPr>
                    <w:rPr>
                      <w:rFonts w:ascii="Cambria Math" w:hAnsi="Cambria Math"/>
                      <w:i/>
                      <w:iCs/>
                      <w:lang w:val="en-GB"/>
                    </w:rPr>
                  </m:ctrlPr>
                </m:e>
                <m:sub>
                  <m:r>
                    <m:rPr>
                      <m:sty m:val="p"/>
                    </m:rPr>
                    <w:rPr>
                      <w:rFonts w:ascii="Cambria Math" w:hAnsi="Cambria Math"/>
                      <w:lang w:val="en-GB"/>
                    </w:rPr>
                    <m:t>MCG</m:t>
                  </m:r>
                  <m:ctrlPr>
                    <w:rPr>
                      <w:rFonts w:ascii="Cambria Math" w:hAnsi="Cambria Math"/>
                      <w:i/>
                      <w:iCs/>
                      <w:lang w:val="en-GB"/>
                    </w:rPr>
                  </m:ctrlPr>
                </m:sub>
                <m:sup>
                  <m:r>
                    <m:rPr>
                      <m:sty m:val="p"/>
                    </m:rPr>
                    <w:rPr>
                      <w:rFonts w:ascii="Cambria Math" w:hAnsi="Cambria Math"/>
                      <w:lang w:val="en-GB"/>
                    </w:rPr>
                    <m:t>'</m:t>
                  </m:r>
                  <m:ctrlPr>
                    <w:rPr>
                      <w:rFonts w:ascii="Cambria Math" w:hAnsi="Cambria Math"/>
                      <w:i/>
                      <w:iCs/>
                      <w:lang w:val="en-GB"/>
                    </w:rPr>
                  </m:ctrlPr>
                </m:sup>
              </m:sSubSup>
            </m:oMath>
            <w:r>
              <w:rPr>
                <w:rFonts w:ascii="New York" w:hAnsi="New York"/>
                <w:lang w:val="en-GB"/>
              </w:rPr>
              <w:t xml:space="preserve"> and </w:t>
            </w:r>
            <m:oMath>
              <m:sSubSup>
                <m:sSubSupPr>
                  <m:ctrlPr>
                    <w:rPr>
                      <w:rFonts w:ascii="Cambria Math" w:hAnsi="Cambria Math"/>
                      <w:i/>
                      <w:iCs/>
                      <w:lang w:val="en-GB"/>
                    </w:rPr>
                  </m:ctrlPr>
                </m:sSubSupPr>
                <m:e>
                  <m:r>
                    <m:rPr>
                      <m:sty m:val="p"/>
                    </m:rPr>
                    <w:rPr>
                      <w:rFonts w:ascii="Cambria Math" w:hAnsi="Cambria Math"/>
                      <w:lang w:val="en-GB"/>
                    </w:rPr>
                    <m:t>P</m:t>
                  </m:r>
                  <m:ctrlPr>
                    <w:rPr>
                      <w:rFonts w:ascii="Cambria Math" w:hAnsi="Cambria Math"/>
                      <w:i/>
                      <w:iCs/>
                      <w:lang w:val="en-GB"/>
                    </w:rPr>
                  </m:ctrlPr>
                </m:e>
                <m:sub>
                  <m:r>
                    <m:rPr>
                      <m:sty m:val="p"/>
                    </m:rPr>
                    <w:rPr>
                      <w:rFonts w:ascii="Cambria Math" w:hAnsi="Cambria Math"/>
                      <w:lang w:val="en-GB"/>
                    </w:rPr>
                    <m:t>SCG</m:t>
                  </m:r>
                  <m:ctrlPr>
                    <w:rPr>
                      <w:rFonts w:ascii="Cambria Math" w:hAnsi="Cambria Math"/>
                      <w:i/>
                      <w:iCs/>
                      <w:lang w:val="en-GB"/>
                    </w:rPr>
                  </m:ctrlPr>
                </m:sub>
                <m:sup>
                  <m:r>
                    <m:rPr>
                      <m:sty m:val="p"/>
                    </m:rPr>
                    <w:rPr>
                      <w:rFonts w:ascii="Cambria Math" w:hAnsi="Cambria Math"/>
                      <w:lang w:val="en-GB"/>
                    </w:rPr>
                    <m:t>'</m:t>
                  </m:r>
                  <m:ctrlPr>
                    <w:rPr>
                      <w:rFonts w:ascii="Cambria Math" w:hAnsi="Cambria Math"/>
                      <w:i/>
                      <w:iCs/>
                      <w:lang w:val="en-GB"/>
                    </w:rPr>
                  </m:ctrlPr>
                </m:sup>
              </m:sSubSup>
            </m:oMath>
            <w:r>
              <w:rPr>
                <w:rFonts w:ascii="New York" w:hAnsi="New York"/>
                <w:lang w:val="en-GB"/>
              </w:rPr>
              <w:t xml:space="preserve">  are determined by RAN4 requirement. </w:t>
            </w:r>
          </w:p>
          <w:p>
            <w:pPr>
              <w:numPr>
                <w:ilvl w:val="1"/>
                <w:numId w:val="9"/>
              </w:numPr>
              <w:spacing w:before="0" w:after="0" w:line="240" w:lineRule="auto"/>
              <w:rPr>
                <w:rFonts w:ascii="New York" w:hAnsi="New York"/>
                <w:lang w:val="en-GB"/>
              </w:rPr>
            </w:pPr>
            <w:r>
              <w:rPr>
                <w:rFonts w:ascii="New York" w:hAnsi="New York"/>
                <w:lang w:val="en-GB"/>
              </w:rPr>
              <w:t xml:space="preserve">Alt.2: For the uplink transmission in MCG and in SCG, UE limits its actual transmission power </w:t>
            </w:r>
            <m:oMath>
              <m:sSub>
                <m:sSubPr>
                  <m:ctrlPr>
                    <w:rPr>
                      <w:rFonts w:ascii="Cambria Math" w:hAnsi="Cambria Math"/>
                      <w:i/>
                      <w:iCs/>
                      <w:lang w:val="en-GB"/>
                    </w:rPr>
                  </m:ctrlPr>
                </m:sSubPr>
                <m:e>
                  <m:r>
                    <m:rPr>
                      <m:sty m:val="p"/>
                    </m:rPr>
                    <w:rPr>
                      <w:rFonts w:ascii="Cambria Math" w:hAnsi="Cambria Math"/>
                      <w:lang w:val="en-GB"/>
                    </w:rPr>
                    <m:t>p</m:t>
                  </m:r>
                  <m:ctrlPr>
                    <w:rPr>
                      <w:rFonts w:ascii="Cambria Math" w:hAnsi="Cambria Math"/>
                      <w:i/>
                      <w:iCs/>
                      <w:lang w:val="en-GB"/>
                    </w:rPr>
                  </m:ctrlPr>
                </m:e>
                <m:sub>
                  <m:r>
                    <m:rPr>
                      <m:sty m:val="p"/>
                    </m:rPr>
                    <w:rPr>
                      <w:rFonts w:ascii="Cambria Math" w:hAnsi="Cambria Math"/>
                      <w:lang w:val="en-GB"/>
                    </w:rPr>
                    <m:t>MCG</m:t>
                  </m:r>
                  <m:ctrlPr>
                    <w:rPr>
                      <w:rFonts w:ascii="Cambria Math" w:hAnsi="Cambria Math"/>
                      <w:i/>
                      <w:iCs/>
                      <w:lang w:val="en-GB"/>
                    </w:rPr>
                  </m:ctrlPr>
                </m:sub>
              </m:sSub>
            </m:oMath>
            <w:r>
              <w:rPr>
                <w:rFonts w:ascii="New York" w:hAnsi="New York"/>
                <w:lang w:val="en-GB"/>
              </w:rPr>
              <w:t xml:space="preserve"> to be up to</w:t>
            </w:r>
            <m:oMath>
              <m:sSub>
                <m:sSubPr>
                  <m:ctrlPr>
                    <w:rPr>
                      <w:rFonts w:ascii="Cambria Math" w:hAnsi="Cambria Math"/>
                      <w:i/>
                      <w:iCs/>
                      <w:lang w:val="en-GB"/>
                    </w:rPr>
                  </m:ctrlPr>
                </m:sSubPr>
                <m:e>
                  <m:r>
                    <m:rPr>
                      <m:sty m:val="p"/>
                    </m:rPr>
                    <w:rPr>
                      <w:rFonts w:ascii="Cambria Math" w:hAnsi="Cambria Math"/>
                      <w:lang w:val="en-GB"/>
                    </w:rPr>
                    <m:t> P</m:t>
                  </m:r>
                  <m:ctrlPr>
                    <w:rPr>
                      <w:rFonts w:ascii="Cambria Math" w:hAnsi="Cambria Math"/>
                      <w:i/>
                      <w:iCs/>
                      <w:lang w:val="en-GB"/>
                    </w:rPr>
                  </m:ctrlPr>
                </m:e>
                <m:sub>
                  <m:r>
                    <m:rPr>
                      <m:sty m:val="p"/>
                    </m:rPr>
                    <w:rPr>
                      <w:rFonts w:ascii="Cambria Math" w:hAnsi="Cambria Math"/>
                      <w:lang w:val="en-GB"/>
                    </w:rPr>
                    <m:t>MCG</m:t>
                  </m:r>
                  <m:ctrlPr>
                    <w:rPr>
                      <w:rFonts w:ascii="Cambria Math" w:hAnsi="Cambria Math"/>
                      <w:i/>
                      <w:iCs/>
                      <w:lang w:val="en-GB"/>
                    </w:rPr>
                  </m:ctrlPr>
                </m:sub>
              </m:sSub>
            </m:oMath>
            <w:r>
              <w:rPr>
                <w:rFonts w:ascii="New York" w:hAnsi="New York"/>
                <w:lang w:val="en-GB"/>
              </w:rPr>
              <w:t xml:space="preserve">and  </w:t>
            </w:r>
            <m:oMath>
              <m:sSub>
                <m:sSubPr>
                  <m:ctrlPr>
                    <w:rPr>
                      <w:rFonts w:ascii="Cambria Math" w:hAnsi="Cambria Math"/>
                      <w:i/>
                      <w:iCs/>
                      <w:lang w:val="en-GB"/>
                    </w:rPr>
                  </m:ctrlPr>
                </m:sSubPr>
                <m:e>
                  <m:r>
                    <m:rPr>
                      <m:sty m:val="p"/>
                    </m:rPr>
                    <w:rPr>
                      <w:rFonts w:ascii="Cambria Math" w:hAnsi="Cambria Math"/>
                      <w:lang w:val="en-GB"/>
                    </w:rPr>
                    <m:t>p</m:t>
                  </m:r>
                  <m:ctrlPr>
                    <w:rPr>
                      <w:rFonts w:ascii="Cambria Math" w:hAnsi="Cambria Math"/>
                      <w:i/>
                      <w:iCs/>
                      <w:lang w:val="en-GB"/>
                    </w:rPr>
                  </m:ctrlPr>
                </m:e>
                <m:sub>
                  <m:r>
                    <m:rPr>
                      <m:sty m:val="p"/>
                    </m:rPr>
                    <w:rPr>
                      <w:rFonts w:ascii="Cambria Math" w:hAnsi="Cambria Math"/>
                      <w:lang w:val="en-GB"/>
                    </w:rPr>
                    <m:t>SCG</m:t>
                  </m:r>
                  <m:ctrlPr>
                    <w:rPr>
                      <w:rFonts w:ascii="Cambria Math" w:hAnsi="Cambria Math"/>
                      <w:i/>
                      <w:iCs/>
                      <w:lang w:val="en-GB"/>
                    </w:rPr>
                  </m:ctrlPr>
                </m:sub>
              </m:sSub>
            </m:oMath>
            <w:r>
              <w:rPr>
                <w:rFonts w:ascii="New York" w:hAnsi="New York"/>
                <w:lang w:val="en-GB"/>
              </w:rPr>
              <w:t xml:space="preserve"> to be up to </w:t>
            </w:r>
            <m:oMath>
              <m:sSub>
                <m:sSubPr>
                  <m:ctrlPr>
                    <w:rPr>
                      <w:rFonts w:ascii="Cambria Math" w:hAnsi="Cambria Math"/>
                      <w:i/>
                      <w:iCs/>
                      <w:lang w:val="en-GB"/>
                    </w:rPr>
                  </m:ctrlPr>
                </m:sSubPr>
                <m:e>
                  <m:r>
                    <m:rPr>
                      <m:sty m:val="p"/>
                    </m:rPr>
                    <w:rPr>
                      <w:rFonts w:ascii="Cambria Math" w:hAnsi="Cambria Math"/>
                      <w:lang w:val="en-GB"/>
                    </w:rPr>
                    <m:t>P</m:t>
                  </m:r>
                  <m:ctrlPr>
                    <w:rPr>
                      <w:rFonts w:ascii="Cambria Math" w:hAnsi="Cambria Math"/>
                      <w:i/>
                      <w:iCs/>
                      <w:lang w:val="en-GB"/>
                    </w:rPr>
                  </m:ctrlPr>
                </m:e>
                <m:sub>
                  <m:r>
                    <m:rPr>
                      <m:sty m:val="p"/>
                    </m:rPr>
                    <w:rPr>
                      <w:rFonts w:ascii="Cambria Math" w:hAnsi="Cambria Math"/>
                      <w:lang w:val="en-GB"/>
                    </w:rPr>
                    <m:t>SCG</m:t>
                  </m:r>
                  <m:ctrlPr>
                    <w:rPr>
                      <w:rFonts w:ascii="Cambria Math" w:hAnsi="Cambria Math"/>
                      <w:i/>
                      <w:iCs/>
                      <w:lang w:val="en-GB"/>
                    </w:rPr>
                  </m:ctrlPr>
                </m:sub>
              </m:sSub>
            </m:oMath>
          </w:p>
        </w:tc>
      </w:tr>
    </w:tbl>
    <w:p>
      <w:pPr>
        <w:rPr>
          <w:lang w:eastAsia="zh-CN"/>
        </w:rPr>
      </w:pPr>
    </w:p>
    <w:p>
      <w:pPr>
        <w:pStyle w:val="2"/>
        <w:rPr>
          <w:lang w:val="en-US" w:eastAsia="zh-CN"/>
        </w:rPr>
      </w:pPr>
      <w:r>
        <w:rPr>
          <w:lang w:val="en-US" w:eastAsia="zh-CN"/>
        </w:rPr>
        <w:t>Dynamic power sharing</w:t>
      </w:r>
    </w:p>
    <w:p>
      <w:pPr>
        <w:pStyle w:val="3"/>
        <w:rPr>
          <w:lang w:eastAsia="zh-CN"/>
        </w:rPr>
      </w:pPr>
      <w:r>
        <w:rPr>
          <w:lang w:val="en-US" w:eastAsia="zh-CN"/>
        </w:rPr>
        <w:t xml:space="preserve">Framework of </w:t>
      </w:r>
      <w:r>
        <w:rPr>
          <w:rFonts w:hint="eastAsia"/>
          <w:lang w:val="en-US" w:eastAsia="zh-CN"/>
        </w:rPr>
        <w:t>NR-DC power control solution</w:t>
      </w:r>
    </w:p>
    <w:p>
      <w:pPr>
        <w:rPr>
          <w:lang w:eastAsia="zh-CN"/>
        </w:rPr>
      </w:pPr>
      <w:r>
        <w:rPr>
          <w:rFonts w:hint="eastAsia"/>
          <w:lang w:eastAsia="zh-CN"/>
        </w:rPr>
        <w:t>As discussed in our previous contribution</w:t>
      </w:r>
      <w:r>
        <w:rPr>
          <w:lang w:eastAsia="zh-CN"/>
        </w:rPr>
        <w:t xml:space="preserve"> </w:t>
      </w:r>
      <w:r>
        <w:rPr>
          <w:lang w:eastAsia="zh-CN"/>
        </w:rPr>
        <w:fldChar w:fldCharType="begin"/>
      </w:r>
      <w:r>
        <w:rPr>
          <w:lang w:eastAsia="zh-CN"/>
        </w:rPr>
        <w:instrText xml:space="preserve"> </w:instrText>
      </w:r>
      <w:r>
        <w:rPr>
          <w:rFonts w:hint="eastAsia"/>
          <w:lang w:eastAsia="zh-CN"/>
        </w:rPr>
        <w:instrText xml:space="preserve">REF _Ref16691341 \r \h</w:instrText>
      </w:r>
      <w:r>
        <w:rPr>
          <w:lang w:eastAsia="zh-CN"/>
        </w:rPr>
        <w:instrText xml:space="preserve"> </w:instrText>
      </w:r>
      <w:r>
        <w:rPr>
          <w:lang w:eastAsia="zh-CN"/>
        </w:rPr>
        <w:fldChar w:fldCharType="separate"/>
      </w:r>
      <w:r>
        <w:rPr>
          <w:lang w:eastAsia="zh-CN"/>
        </w:rPr>
        <w:t>[1]</w:t>
      </w:r>
      <w:r>
        <w:rPr>
          <w:lang w:eastAsia="zh-CN"/>
        </w:rPr>
        <w:fldChar w:fldCharType="end"/>
      </w:r>
      <w:r>
        <w:rPr>
          <w:rFonts w:hint="eastAsia"/>
          <w:lang w:eastAsia="zh-CN"/>
        </w:rPr>
        <w:t xml:space="preserve">, dynamic power sharing can also be operated to cover semi-static power sharing. From network perspective, one unified signaling framework for both dynamic power sharing </w:t>
      </w:r>
      <w:r>
        <w:rPr>
          <w:lang w:eastAsia="zh-CN"/>
        </w:rPr>
        <w:t xml:space="preserve">and semi-static power sharing </w:t>
      </w:r>
      <w:r>
        <w:rPr>
          <w:rFonts w:hint="eastAsia"/>
          <w:lang w:eastAsia="zh-CN"/>
        </w:rPr>
        <w:t>should suffice and it</w:t>
      </w:r>
      <w:r>
        <w:rPr>
          <w:lang w:eastAsia="zh-CN"/>
        </w:rPr>
        <w:t>’</w:t>
      </w:r>
      <w:r>
        <w:rPr>
          <w:rFonts w:hint="eastAsia"/>
          <w:lang w:eastAsia="zh-CN"/>
        </w:rPr>
        <w:t xml:space="preserve">s up to the network whether to adopt semi-static power sharing or dynamic power sharing. </w:t>
      </w:r>
    </w:p>
    <w:p>
      <w:pPr>
        <w:rPr>
          <w:lang w:eastAsia="zh-CN"/>
        </w:rPr>
      </w:pPr>
      <w:r>
        <w:rPr>
          <w:lang w:eastAsia="zh-CN"/>
        </w:rPr>
        <w:t>Furthermore, as discussed in the email discussion [96-NR-13], UE fragmentation, i.e., some UEs supports dynamic power sharing and some don’t, will greatly increase the network implementation complexity. Network has to implement different algorithms to cater for different UEs. From network perspective, it’s preferred that UEs supporting NR-DC can support dynamic power sharing mandatorily without capability signaling.</w:t>
      </w:r>
      <w:r>
        <w:rPr>
          <w:rFonts w:hint="eastAsia"/>
          <w:lang w:eastAsia="zh-CN"/>
        </w:rPr>
        <w:t xml:space="preserve"> </w:t>
      </w:r>
      <w:r>
        <w:rPr>
          <w:lang w:eastAsia="zh-CN"/>
        </w:rPr>
        <w:t>Besides, UE with CA capability needs to perform power sharing between different CCs. From our perspective, it won’t increase much implementation complexity for UEs supporting CA to s</w:t>
      </w:r>
      <w:bookmarkStart w:id="7" w:name="_GoBack"/>
      <w:bookmarkEnd w:id="7"/>
      <w:r>
        <w:rPr>
          <w:lang w:eastAsia="zh-CN"/>
        </w:rPr>
        <w:t>upport dynamic power sharing for NR-DC.</w:t>
      </w:r>
    </w:p>
    <w:p>
      <w:pPr>
        <w:rPr>
          <w:i/>
          <w:iCs/>
          <w:lang w:eastAsia="zh-CN"/>
        </w:rPr>
      </w:pPr>
      <w:r>
        <w:rPr>
          <w:rFonts w:hint="eastAsia"/>
          <w:b/>
          <w:bCs/>
          <w:i/>
          <w:iCs/>
          <w:lang w:eastAsia="zh-CN"/>
        </w:rPr>
        <w:t>Proposal 1</w:t>
      </w:r>
      <w:r>
        <w:rPr>
          <w:rFonts w:hint="eastAsia"/>
          <w:i/>
          <w:iCs/>
          <w:lang w:eastAsia="zh-CN"/>
        </w:rPr>
        <w:t>: For Rel-16 NR-DC, support one unified signaling framework for both semi-static power sharing and dynamic power sharing and it</w:t>
      </w:r>
      <w:r>
        <w:rPr>
          <w:i/>
          <w:iCs/>
          <w:lang w:eastAsia="zh-CN"/>
        </w:rPr>
        <w:t>’</w:t>
      </w:r>
      <w:r>
        <w:rPr>
          <w:rFonts w:hint="eastAsia"/>
          <w:i/>
          <w:iCs/>
          <w:lang w:eastAsia="zh-CN"/>
        </w:rPr>
        <w:t>s up to the network whether to adopt semi-static power sharing or dynamic power sharing.</w:t>
      </w:r>
    </w:p>
    <w:p>
      <w:pPr>
        <w:rPr>
          <w:i/>
          <w:iCs/>
          <w:lang w:eastAsia="zh-CN"/>
        </w:rPr>
      </w:pPr>
      <w:r>
        <w:rPr>
          <w:rFonts w:hint="eastAsia"/>
          <w:b/>
          <w:i/>
          <w:iCs/>
          <w:lang w:eastAsia="zh-CN"/>
        </w:rPr>
        <w:t>P</w:t>
      </w:r>
      <w:r>
        <w:rPr>
          <w:b/>
          <w:i/>
          <w:iCs/>
          <w:lang w:eastAsia="zh-CN"/>
        </w:rPr>
        <w:t>roposal 2</w:t>
      </w:r>
      <w:r>
        <w:rPr>
          <w:i/>
          <w:iCs/>
          <w:lang w:eastAsia="zh-CN"/>
        </w:rPr>
        <w:t>: UEs supporting NR-DC can support dynamic power sharing mandatorily without capability signaling.</w:t>
      </w:r>
    </w:p>
    <w:p>
      <w:pPr>
        <w:snapToGrid w:val="0"/>
        <w:spacing w:before="72" w:beforeLines="30"/>
      </w:pPr>
      <w:r>
        <w:rPr>
          <w:rFonts w:hint="eastAsia"/>
        </w:rPr>
        <w:t>Since NR supports flexible scheduling delay, different numerolog</w:t>
      </w:r>
      <w:r>
        <w:t>ies</w:t>
      </w:r>
      <w:r>
        <w:rPr>
          <w:rFonts w:hint="eastAsia"/>
        </w:rPr>
        <w:t xml:space="preserve"> for CCs</w:t>
      </w:r>
      <w:r>
        <w:t xml:space="preserve">, and </w:t>
      </w:r>
      <w:r>
        <w:rPr>
          <w:rFonts w:hint="eastAsia"/>
        </w:rPr>
        <w:t>non</w:t>
      </w:r>
      <w:r>
        <w:t>-</w:t>
      </w:r>
      <w:r>
        <w:rPr>
          <w:rFonts w:hint="eastAsia"/>
        </w:rPr>
        <w:t xml:space="preserve">slot based </w:t>
      </w:r>
      <w:r>
        <w:t>PUSCH transmission,</w:t>
      </w:r>
      <w:r>
        <w:rPr>
          <w:rFonts w:hint="eastAsia"/>
        </w:rPr>
        <w:t xml:space="preserve"> it is hard to </w:t>
      </w:r>
      <w:r>
        <w:t>consider</w:t>
      </w:r>
      <w:r>
        <w:rPr>
          <w:rFonts w:hint="eastAsia"/>
        </w:rPr>
        <w:t xml:space="preserve"> all the overlapped transmissions </w:t>
      </w:r>
      <w:r>
        <w:t>across</w:t>
      </w:r>
      <w:r>
        <w:rPr>
          <w:rFonts w:hint="eastAsia"/>
        </w:rPr>
        <w:t xml:space="preserve"> CG</w:t>
      </w:r>
      <w:r>
        <w:t>s</w:t>
      </w:r>
      <w:r>
        <w:rPr>
          <w:rFonts w:hint="eastAsia"/>
        </w:rPr>
        <w:t xml:space="preserve">. </w:t>
      </w:r>
      <w:r>
        <w:t>Considering that overlapping UL transmissions are likely to have different start and duration even for synchronous NR-DC, the asynchronous NR-DC is similar to synchronous NR-DC to some extent. From this angle, the finalized solution for NR-DC power sharing should be a common solution for both synchronous and asynchronous NR-DC.</w:t>
      </w:r>
    </w:p>
    <w:p>
      <w:pPr>
        <w:rPr>
          <w:lang w:eastAsia="zh-CN"/>
        </w:rPr>
      </w:pPr>
      <w:r>
        <w:rPr>
          <w:lang w:eastAsia="zh-CN"/>
        </w:rPr>
        <w:t xml:space="preserve">In EN-DC and NE-DC, the LTE leg is always prioritized over NR leg due to the longer scheduling delay. </w:t>
      </w:r>
      <w:r>
        <w:rPr>
          <w:rFonts w:hint="eastAsia"/>
          <w:lang w:eastAsia="zh-CN"/>
        </w:rPr>
        <w:t>As for NR-DC, how to determine the prioritization of each CG is a crucial issue</w:t>
      </w:r>
      <w:r>
        <w:rPr>
          <w:lang w:eastAsia="zh-CN"/>
        </w:rPr>
        <w:t xml:space="preserve"> </w:t>
      </w:r>
      <w:r>
        <w:rPr>
          <w:rFonts w:hint="eastAsia"/>
          <w:lang w:eastAsia="zh-CN"/>
        </w:rPr>
        <w:t xml:space="preserve">since URLLC service may be configured in </w:t>
      </w:r>
      <w:r>
        <w:rPr>
          <w:lang w:eastAsia="zh-CN"/>
        </w:rPr>
        <w:t xml:space="preserve">an arbitrary </w:t>
      </w:r>
      <w:r>
        <w:rPr>
          <w:rFonts w:hint="eastAsia"/>
          <w:lang w:eastAsia="zh-CN"/>
        </w:rPr>
        <w:t>CG</w:t>
      </w:r>
      <w:r>
        <w:rPr>
          <w:lang w:eastAsia="zh-CN"/>
        </w:rPr>
        <w:t xml:space="preserve">. It is worth noting that the statement “In case of same priority order and for operation with carrier aggregation, ……, prioritizes power allocation for transmissions on the PCell over transmissions on the PSCell” has been removed from TS38.213 in RAN1#96bis meeting since this is not related to CA power reduction rule </w:t>
      </w:r>
      <w:r>
        <w:rPr>
          <w:lang w:eastAsia="zh-CN"/>
        </w:rPr>
        <w:fldChar w:fldCharType="begin"/>
      </w:r>
      <w:r>
        <w:rPr>
          <w:lang w:eastAsia="zh-CN"/>
        </w:rPr>
        <w:instrText xml:space="preserve"> REF _Ref16691421 \n \h </w:instrText>
      </w:r>
      <w:r>
        <w:rPr>
          <w:lang w:eastAsia="zh-CN"/>
        </w:rPr>
        <w:fldChar w:fldCharType="separate"/>
      </w:r>
      <w:r>
        <w:rPr>
          <w:lang w:eastAsia="zh-CN"/>
        </w:rPr>
        <w:t>[2]</w:t>
      </w:r>
      <w:r>
        <w:rPr>
          <w:lang w:eastAsia="zh-CN"/>
        </w:rPr>
        <w:fldChar w:fldCharType="end"/>
      </w:r>
      <w:r>
        <w:rPr>
          <w:lang w:eastAsia="zh-CN"/>
        </w:rPr>
        <w:fldChar w:fldCharType="begin"/>
      </w:r>
      <w:r>
        <w:rPr>
          <w:lang w:eastAsia="zh-CN"/>
        </w:rPr>
        <w:instrText xml:space="preserve"> REF _Ref7594725 \n \h </w:instrText>
      </w:r>
      <w:r>
        <w:rPr>
          <w:lang w:eastAsia="zh-CN"/>
        </w:rPr>
        <w:fldChar w:fldCharType="separate"/>
      </w:r>
      <w:r>
        <w:rPr>
          <w:lang w:eastAsia="zh-CN"/>
        </w:rPr>
        <w:t>[3]</w:t>
      </w:r>
      <w:r>
        <w:rPr>
          <w:lang w:eastAsia="zh-CN"/>
        </w:rPr>
        <w:fldChar w:fldCharType="end"/>
      </w:r>
      <w:r>
        <w:rPr>
          <w:lang w:eastAsia="zh-CN"/>
        </w:rPr>
        <w:t>. In Rel-16, i</w:t>
      </w:r>
      <w:r>
        <w:rPr>
          <w:rFonts w:hint="eastAsia"/>
          <w:lang w:eastAsia="zh-CN"/>
        </w:rPr>
        <w:t>t may not be reasonable to always prioritize MCG over SCG since URLLC service may also be configured in SCG.</w:t>
      </w:r>
      <w:r>
        <w:rPr>
          <w:lang w:eastAsia="zh-CN"/>
        </w:rPr>
        <w:t xml:space="preserve"> </w:t>
      </w:r>
    </w:p>
    <w:p>
      <w:pPr>
        <w:rPr>
          <w:lang w:eastAsia="zh-CN"/>
        </w:rPr>
      </w:pPr>
      <w:r>
        <w:rPr>
          <w:lang w:eastAsia="zh-CN"/>
        </w:rPr>
        <w:t>For better adjusting the CG prioritization, CG prioritization can be determined by RRC time pattern or by the dynamic UL grant information. The detailed solution on CG prioritization determination is presented in Section 2.1.1. As for the signaling for power sharing, the maximum power is preferred in order to be consistent with the solutions for semi-static power sharing on the table. The maximum transmission power for each CG can be determined according to the CG prioritization and the configured maximum power for each CG. The detailed solution on determining maximum power for each CG is presented in Section 2.1.2.</w:t>
      </w:r>
    </w:p>
    <w:p>
      <w:pPr>
        <w:pStyle w:val="4"/>
        <w:rPr>
          <w:lang w:eastAsia="zh-CN"/>
        </w:rPr>
      </w:pPr>
      <w:r>
        <w:rPr>
          <w:lang w:eastAsia="zh-CN"/>
        </w:rPr>
        <w:t>CG prioritization determination</w:t>
      </w:r>
    </w:p>
    <w:p>
      <w:pPr>
        <w:rPr>
          <w:lang w:eastAsia="zh-CN"/>
        </w:rPr>
      </w:pPr>
      <w:r>
        <w:rPr>
          <w:rFonts w:hint="eastAsia"/>
          <w:lang w:eastAsia="zh-CN"/>
        </w:rPr>
        <w:t>F</w:t>
      </w:r>
      <w:r>
        <w:rPr>
          <w:lang w:eastAsia="zh-CN"/>
        </w:rPr>
        <w:t xml:space="preserve">or NR-DC, both prioritization rule for CGs and prioritization rule for uplink channels/signals should be specified. UE first determines the prioritization of CGs and then determines the prioritization rule for uplink channels/signals. In RAN1#98 meeting, it has been agreed to reuse the existing CA power determination for uplink transmissions on CC(s) in a same CG. Thus, the prioritization rule for uplink channels/signals in Rel-16 is the same as that in Rel-15. In the following parts, we discuss how to determine the CG prioritization. </w:t>
      </w:r>
    </w:p>
    <w:p>
      <w:pPr>
        <w:rPr>
          <w:lang w:eastAsia="zh-CN"/>
        </w:rPr>
      </w:pPr>
      <w:r>
        <w:rPr>
          <w:rFonts w:hint="eastAsia"/>
          <w:lang w:eastAsia="zh-CN"/>
        </w:rPr>
        <w:t>For both EN-DC and NE-DC, the transmission power of NR is reduced in case of power limit. This is mainly because LTE has a longer scheduling delay (i.e., 4 ms) than NR. Thus, without modifying LTE spec, it is difficult to ask LTE to scale down its transmission power once it has already determined its transmission power. To some extent, LTE CG is prioritized over NR CG for both EN-DC and NE-DC.</w:t>
      </w:r>
    </w:p>
    <w:p>
      <w:pPr>
        <w:rPr>
          <w:lang w:eastAsia="zh-CN"/>
        </w:rPr>
      </w:pPr>
      <w:r>
        <w:rPr>
          <w:rFonts w:hint="eastAsia"/>
          <w:lang w:eastAsia="zh-CN"/>
        </w:rPr>
        <w:t>As for NR-DC, how to determine the prioritization of each CG is a crucial issue</w:t>
      </w:r>
      <w:r>
        <w:rPr>
          <w:lang w:eastAsia="zh-CN"/>
        </w:rPr>
        <w:t xml:space="preserve"> </w:t>
      </w:r>
      <w:r>
        <w:rPr>
          <w:rFonts w:hint="eastAsia"/>
          <w:lang w:eastAsia="zh-CN"/>
        </w:rPr>
        <w:t xml:space="preserve">since URLLC service may be configured in </w:t>
      </w:r>
      <w:r>
        <w:rPr>
          <w:lang w:eastAsia="zh-CN"/>
        </w:rPr>
        <w:t xml:space="preserve">an arbitrary </w:t>
      </w:r>
      <w:r>
        <w:rPr>
          <w:rFonts w:hint="eastAsia"/>
          <w:lang w:eastAsia="zh-CN"/>
        </w:rPr>
        <w:t>CG</w:t>
      </w:r>
      <w:r>
        <w:rPr>
          <w:lang w:eastAsia="zh-CN"/>
        </w:rPr>
        <w:t xml:space="preserve">. </w:t>
      </w:r>
      <w:r>
        <w:rPr>
          <w:rFonts w:hint="eastAsia"/>
          <w:lang w:eastAsia="zh-CN"/>
        </w:rPr>
        <w:t xml:space="preserve">It may not be reasonable to always prioritize MCG over SCG since URLLC service may also be configured in SCG. </w:t>
      </w:r>
      <w:r>
        <w:rPr>
          <w:lang w:eastAsia="zh-CN"/>
        </w:rPr>
        <w:t xml:space="preserve">Furthermore, the description on CG prioritization rule, i.e., MCG is always prioritized over SCG, has been removed from TS38.213 </w:t>
      </w:r>
      <w:r>
        <w:rPr>
          <w:lang w:eastAsia="zh-CN"/>
        </w:rPr>
        <w:fldChar w:fldCharType="begin"/>
      </w:r>
      <w:r>
        <w:rPr>
          <w:lang w:eastAsia="zh-CN"/>
        </w:rPr>
        <w:instrText xml:space="preserve"> REF _Ref16691421 \n \h </w:instrText>
      </w:r>
      <w:r>
        <w:rPr>
          <w:lang w:eastAsia="zh-CN"/>
        </w:rPr>
        <w:fldChar w:fldCharType="separate"/>
      </w:r>
      <w:r>
        <w:rPr>
          <w:lang w:eastAsia="zh-CN"/>
        </w:rPr>
        <w:t>[2]</w:t>
      </w:r>
      <w:r>
        <w:rPr>
          <w:lang w:eastAsia="zh-CN"/>
        </w:rPr>
        <w:fldChar w:fldCharType="end"/>
      </w:r>
      <w:r>
        <w:rPr>
          <w:lang w:eastAsia="zh-CN"/>
        </w:rPr>
        <w:fldChar w:fldCharType="begin"/>
      </w:r>
      <w:r>
        <w:rPr>
          <w:lang w:eastAsia="zh-CN"/>
        </w:rPr>
        <w:instrText xml:space="preserve"> REF _Ref7594725 \n \h </w:instrText>
      </w:r>
      <w:r>
        <w:rPr>
          <w:lang w:eastAsia="zh-CN"/>
        </w:rPr>
        <w:fldChar w:fldCharType="separate"/>
      </w:r>
      <w:r>
        <w:rPr>
          <w:lang w:eastAsia="zh-CN"/>
        </w:rPr>
        <w:t>[3]</w:t>
      </w:r>
      <w:r>
        <w:rPr>
          <w:lang w:eastAsia="zh-CN"/>
        </w:rPr>
        <w:fldChar w:fldCharType="end"/>
      </w:r>
      <w:r>
        <w:rPr>
          <w:lang w:eastAsia="zh-CN"/>
        </w:rPr>
        <w:t>. In Rel-16, the CG prioritization rule for NR-DC needs to be further studied.</w:t>
      </w:r>
    </w:p>
    <w:p>
      <w:pPr>
        <w:rPr>
          <w:lang w:eastAsia="zh-CN"/>
        </w:rPr>
      </w:pPr>
      <w:r>
        <w:rPr>
          <w:lang w:eastAsia="zh-CN"/>
        </w:rPr>
        <w:t>If MCG is always prioritized over SCG, network is likely to schedule all URLLC traffic in MCG, which is detrimental for traffic balance between MCG and SCG. To handle this issue, two possible solutions are present as below.</w:t>
      </w:r>
    </w:p>
    <w:p>
      <w:pPr>
        <w:jc w:val="center"/>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drawing>
          <wp:inline distT="0" distB="0" distL="0" distR="0">
            <wp:extent cx="5007610" cy="1764665"/>
            <wp:effectExtent l="0" t="0" r="254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056262" cy="1782081"/>
                    </a:xfrm>
                    <a:prstGeom prst="rect">
                      <a:avLst/>
                    </a:prstGeom>
                    <a:noFill/>
                  </pic:spPr>
                </pic:pic>
              </a:graphicData>
            </a:graphic>
          </wp:inline>
        </w:drawing>
      </w:r>
    </w:p>
    <w:p>
      <w:pPr>
        <w:snapToGrid w:val="0"/>
        <w:spacing w:before="72" w:beforeLines="30"/>
        <w:jc w:val="center"/>
        <w:rPr>
          <w:bCs/>
          <w:lang w:eastAsia="zh-CN"/>
        </w:rPr>
      </w:pPr>
      <w:r>
        <w:rPr>
          <w:rFonts w:hint="eastAsia"/>
          <w:b/>
          <w:bCs/>
        </w:rPr>
        <w:t xml:space="preserve">Figure </w:t>
      </w:r>
      <w:r>
        <w:rPr>
          <w:b/>
          <w:bCs/>
        </w:rPr>
        <w:t>1</w:t>
      </w:r>
      <w:r>
        <w:rPr>
          <w:rFonts w:hint="eastAsia"/>
          <w:b/>
          <w:bCs/>
          <w:lang w:eastAsia="zh-CN"/>
        </w:rPr>
        <w:t>.</w:t>
      </w:r>
      <w:r>
        <w:rPr>
          <w:rFonts w:hint="eastAsia"/>
          <w:b/>
          <w:bCs/>
        </w:rPr>
        <w:t xml:space="preserve"> </w:t>
      </w:r>
      <w:r>
        <w:rPr>
          <w:bCs/>
        </w:rPr>
        <w:t>CG prioritization determination for NR-DC.</w:t>
      </w:r>
    </w:p>
    <w:p>
      <w:pPr>
        <w:pStyle w:val="114"/>
        <w:numPr>
          <w:ilvl w:val="0"/>
          <w:numId w:val="10"/>
        </w:numPr>
        <w:rPr>
          <w:b/>
          <w:lang w:eastAsia="zh-CN"/>
        </w:rPr>
      </w:pPr>
      <w:r>
        <w:rPr>
          <w:b/>
          <w:lang w:eastAsia="zh-CN"/>
        </w:rPr>
        <w:t>CG prioritization pattern configured by RRC</w:t>
      </w:r>
    </w:p>
    <w:p>
      <w:pPr>
        <w:rPr>
          <w:lang w:eastAsia="zh-CN"/>
        </w:rPr>
      </w:pPr>
      <w:r>
        <w:rPr>
          <w:rFonts w:hint="eastAsia"/>
          <w:lang w:eastAsia="zh-CN"/>
        </w:rPr>
        <w:t>R</w:t>
      </w:r>
      <w:r>
        <w:rPr>
          <w:lang w:eastAsia="zh-CN"/>
        </w:rPr>
        <w:t>RC configures a time pattern for MCG and SCG to determine the prioritization. For example, as depicted in Figure 1, RRC configures a 10 ms period. Within the first 5 ms, MCG is prioritized over SCG; within the latter 5ms, SCG is prioritized over MCG. In this way, network can schedule the URLLC traffic in the prioritized CG instead of always scheduling in the MCG to balance the traffic between MCG and SCG.</w:t>
      </w:r>
    </w:p>
    <w:p>
      <w:pPr>
        <w:pStyle w:val="114"/>
        <w:numPr>
          <w:ilvl w:val="0"/>
          <w:numId w:val="10"/>
        </w:numPr>
        <w:rPr>
          <w:b/>
          <w:lang w:eastAsia="zh-CN"/>
        </w:rPr>
      </w:pPr>
      <w:r>
        <w:rPr>
          <w:b/>
          <w:lang w:eastAsia="zh-CN"/>
        </w:rPr>
        <w:t>CG prioritization determined by dynamic UL grant</w:t>
      </w:r>
    </w:p>
    <w:p>
      <w:pPr>
        <w:rPr>
          <w:lang w:eastAsia="zh-CN"/>
        </w:rPr>
      </w:pPr>
      <w:r>
        <w:rPr>
          <w:lang w:eastAsia="zh-CN"/>
        </w:rPr>
        <w:t xml:space="preserve">CG prioritization can also be determined according to the dynamic UL grant information. For example, the MCG is prioritized over SCG by default. If the URLLC traffic is scheduled in SCG, then SCG is prioritized over MCG. </w:t>
      </w:r>
    </w:p>
    <w:p>
      <w:pPr>
        <w:rPr>
          <w:i/>
          <w:lang w:eastAsia="zh-CN"/>
        </w:rPr>
      </w:pPr>
      <w:r>
        <w:rPr>
          <w:rFonts w:hint="eastAsia"/>
          <w:b/>
          <w:i/>
          <w:lang w:eastAsia="zh-CN"/>
        </w:rPr>
        <w:t>P</w:t>
      </w:r>
      <w:r>
        <w:rPr>
          <w:b/>
          <w:i/>
          <w:lang w:eastAsia="zh-CN"/>
        </w:rPr>
        <w:t>roposal 3</w:t>
      </w:r>
      <w:r>
        <w:rPr>
          <w:i/>
          <w:lang w:eastAsia="zh-CN"/>
        </w:rPr>
        <w:t>: For NR-DC in Rel-16, determine the CG prioritization by RRC time pattern or by the dynamic UL grant information.</w:t>
      </w:r>
    </w:p>
    <w:p>
      <w:pPr>
        <w:pStyle w:val="4"/>
        <w:rPr>
          <w:lang w:eastAsia="zh-CN"/>
        </w:rPr>
      </w:pPr>
      <w:r>
        <w:rPr>
          <w:lang w:eastAsia="zh-CN"/>
        </w:rPr>
        <w:t>Maximum power determination</w:t>
      </w:r>
    </w:p>
    <w:p>
      <w:pPr>
        <w:snapToGrid w:val="0"/>
        <w:spacing w:before="72" w:beforeLines="30"/>
        <w:rPr>
          <w:lang w:eastAsia="zh-CN"/>
        </w:rPr>
      </w:pPr>
      <w:r>
        <w:rPr>
          <w:rFonts w:hint="eastAsia"/>
          <w:lang w:eastAsia="zh-CN"/>
        </w:rPr>
        <w:t>B</w:t>
      </w:r>
      <w:r>
        <w:rPr>
          <w:lang w:eastAsia="zh-CN"/>
        </w:rPr>
        <w:t xml:space="preserve">asically, the maximum power is equivalent to the minimum guaranteed power to some extent. In order to be compatible with the two semi-static power sharing solutions as listed in Section 1, configuring one set of maximum power is preferred. </w:t>
      </w:r>
    </w:p>
    <w:p>
      <w:pPr>
        <w:snapToGrid w:val="0"/>
        <w:spacing w:before="72" w:beforeLines="30"/>
        <w:rPr>
          <w:lang w:eastAsia="zh-CN"/>
        </w:rPr>
      </w:pPr>
      <w:r>
        <w:rPr>
          <w:lang w:eastAsia="zh-CN"/>
        </w:rPr>
        <w:t>In EN-DC or NE-DC, P</w:t>
      </w:r>
      <w:r>
        <w:rPr>
          <w:vertAlign w:val="subscript"/>
          <w:lang w:eastAsia="zh-CN"/>
        </w:rPr>
        <w:t>LTE</w:t>
      </w:r>
      <w:r>
        <w:rPr>
          <w:lang w:eastAsia="zh-CN"/>
        </w:rPr>
        <w:t xml:space="preserve"> and P</w:t>
      </w:r>
      <w:r>
        <w:rPr>
          <w:vertAlign w:val="subscript"/>
          <w:lang w:eastAsia="zh-CN"/>
        </w:rPr>
        <w:t>NR</w:t>
      </w:r>
      <w:r>
        <w:rPr>
          <w:lang w:eastAsia="zh-CN"/>
        </w:rPr>
        <w:t xml:space="preserve"> are configured as the maximum transmission power for LTE leg and NR leg, respectively. In our solution, RRC configures one set of maximum transmission power, let’s say P1 and P2. Different from the EN-DC or NE-DC, the P1 and P2 are not merely for one CG. Whether MCG (or SCG) uses P1 or P2 as the maximum transmission power depends on the CG prioritization determination.</w:t>
      </w:r>
    </w:p>
    <w:p>
      <w:pPr>
        <w:rPr>
          <w:lang w:val="en-GB" w:eastAsia="zh-CN"/>
        </w:rPr>
      </w:pPr>
      <w:r>
        <w:rPr>
          <w:rFonts w:hint="eastAsia"/>
          <w:lang w:val="en-GB" w:eastAsia="zh-CN"/>
        </w:rPr>
        <w:t>A</w:t>
      </w:r>
      <w:r>
        <w:rPr>
          <w:lang w:val="en-GB" w:eastAsia="zh-CN"/>
        </w:rPr>
        <w:t>ssume that RRC configures one set of maximum transmission power, i.e., P1 and P2 (P1 &lt;= P2). After determining the CG prioritization, if MCG is prioritized over SCG, then the maximum power for MCG is P2 and the maximum power for SCG is P1; if SCG is prioritized over MCG, then the maximum power for MCG is P1 and the maximum transmission for SCG is P2. Allocating the larger maximum power for the prioritized CG makes sense since network shall guarantee the transmission reliability of the prioritized CG.</w:t>
      </w:r>
    </w:p>
    <w:p>
      <w:pPr>
        <w:rPr>
          <w:i/>
          <w:lang w:val="en-GB" w:eastAsia="zh-CN"/>
        </w:rPr>
      </w:pPr>
      <w:r>
        <w:rPr>
          <w:b/>
          <w:i/>
          <w:lang w:val="en-GB" w:eastAsia="zh-CN"/>
        </w:rPr>
        <w:t>Proposal 4</w:t>
      </w:r>
      <w:r>
        <w:rPr>
          <w:i/>
          <w:lang w:val="en-GB" w:eastAsia="zh-CN"/>
        </w:rPr>
        <w:t>: RRC configures P1 and P2 (P1 &lt;= P2) as the maximum power for NR-DC power sharing. After determining the CG prioritization, P1 is regarded as the maximum power for the deprioritized CG and P2 is regarded as the maximum power for the prioritized CG.</w:t>
      </w:r>
    </w:p>
    <w:p>
      <w:pPr>
        <w:rPr>
          <w:lang w:val="en-GB" w:eastAsia="zh-CN"/>
        </w:rPr>
      </w:pPr>
    </w:p>
    <w:p>
      <w:pPr>
        <w:pStyle w:val="3"/>
        <w:rPr>
          <w:lang w:val="en-US" w:eastAsia="zh-CN"/>
        </w:rPr>
      </w:pPr>
      <w:r>
        <w:rPr>
          <w:rFonts w:hint="eastAsia"/>
          <w:lang w:val="en-US" w:eastAsia="zh-CN"/>
        </w:rPr>
        <w:t>Look-ahead operation</w:t>
      </w:r>
    </w:p>
    <w:p>
      <w:pPr>
        <w:rPr>
          <w:lang w:eastAsia="zh-CN"/>
        </w:rPr>
      </w:pPr>
      <w:r>
        <w:rPr>
          <w:lang w:eastAsia="zh-CN"/>
        </w:rPr>
        <w:t xml:space="preserve">From our perspective, the definition of look-ahead operation is that UE can determine the power based on the UL grant </w:t>
      </w:r>
      <w:r>
        <w:rPr>
          <w:rFonts w:hint="eastAsia"/>
          <w:lang w:eastAsia="zh-CN"/>
        </w:rPr>
        <w:t>that arrives later than</w:t>
      </w:r>
      <w:r>
        <w:rPr>
          <w:lang w:eastAsia="zh-CN"/>
        </w:rPr>
        <w:t xml:space="preserve"> the current UL grant</w:t>
      </w:r>
      <w:r>
        <w:rPr>
          <w:rFonts w:hint="eastAsia"/>
          <w:lang w:eastAsia="zh-CN"/>
        </w:rPr>
        <w:t xml:space="preserve"> before a specific cut-off time. </w:t>
      </w:r>
      <w:r>
        <w:rPr>
          <w:lang w:val="en-GB"/>
        </w:rPr>
        <w:t>With look-ahead, the power of an earlier-arrived UL grant can be adjusted based on another later-arrived UL grant.</w:t>
      </w:r>
    </w:p>
    <w:p>
      <w:pPr>
        <w:rPr>
          <w:lang w:eastAsia="zh-CN"/>
        </w:rPr>
      </w:pPr>
      <w:r>
        <w:rPr>
          <w:lang w:eastAsia="zh-CN"/>
        </w:rPr>
        <w:t xml:space="preserve">For dynamic power sharing with a look-ahead operation, UE can prioritize all the overlapping uplink transmissions within a look-ahead window according to their importance, e.g., the prioritization rule agreed </w:t>
      </w:r>
      <w:r>
        <w:rPr>
          <w:rFonts w:hint="eastAsia"/>
          <w:lang w:eastAsia="zh-CN"/>
        </w:rPr>
        <w:t>in Rel-15</w:t>
      </w:r>
      <w:r>
        <w:rPr>
          <w:lang w:eastAsia="zh-CN"/>
        </w:rPr>
        <w:t>.</w:t>
      </w:r>
      <w:r>
        <w:rPr>
          <w:rFonts w:hint="eastAsia"/>
          <w:lang w:eastAsia="zh-CN"/>
        </w:rPr>
        <w:t xml:space="preserve"> </w:t>
      </w:r>
      <w:r>
        <w:rPr>
          <w:lang w:eastAsia="zh-CN"/>
        </w:rPr>
        <w:t>For dynamic</w:t>
      </w:r>
      <w:r>
        <w:rPr>
          <w:rFonts w:hint="eastAsia"/>
          <w:lang w:eastAsia="zh-CN"/>
        </w:rPr>
        <w:t xml:space="preserve"> </w:t>
      </w:r>
      <w:r>
        <w:rPr>
          <w:lang w:eastAsia="zh-CN"/>
        </w:rPr>
        <w:t>power sharing without a look-ahead operation, UE can only prioritize all the overlapping uplink transmission according to their arrival time, i.e., the uplink transmission with first arrived grant tends to have the highest priority.</w:t>
      </w:r>
      <w:r>
        <w:rPr>
          <w:rFonts w:hint="eastAsia"/>
          <w:lang w:eastAsia="zh-CN"/>
        </w:rPr>
        <w:t xml:space="preserve"> It is </w:t>
      </w:r>
      <w:r>
        <w:rPr>
          <w:lang w:eastAsia="zh-CN"/>
        </w:rPr>
        <w:t>beneficial</w:t>
      </w:r>
      <w:r>
        <w:rPr>
          <w:rFonts w:hint="eastAsia"/>
          <w:lang w:eastAsia="zh-CN"/>
        </w:rPr>
        <w:t xml:space="preserve"> to support the look-ahead operation for dynamic power sharing.</w:t>
      </w:r>
    </w:p>
    <w:p>
      <w:pPr>
        <w:rPr>
          <w:lang w:eastAsia="zh-CN"/>
        </w:rPr>
      </w:pPr>
      <w:r>
        <w:rPr>
          <w:rFonts w:hint="eastAsia"/>
          <w:b/>
          <w:i/>
          <w:sz w:val="21"/>
          <w:lang w:eastAsia="zh-CN"/>
        </w:rPr>
        <w:t>Proposal</w:t>
      </w:r>
      <w:r>
        <w:rPr>
          <w:b/>
          <w:i/>
          <w:sz w:val="21"/>
          <w:lang w:eastAsia="zh-CN"/>
        </w:rPr>
        <w:t xml:space="preserve"> 5</w:t>
      </w:r>
      <w:r>
        <w:rPr>
          <w:rFonts w:hint="eastAsia"/>
          <w:b/>
          <w:bCs/>
          <w:lang w:eastAsia="zh-CN"/>
        </w:rPr>
        <w:t>:</w:t>
      </w:r>
      <w:r>
        <w:rPr>
          <w:rFonts w:hint="eastAsia"/>
          <w:lang w:eastAsia="zh-CN"/>
        </w:rPr>
        <w:t xml:space="preserve"> </w:t>
      </w:r>
      <w:r>
        <w:rPr>
          <w:rFonts w:hint="eastAsia"/>
          <w:i/>
          <w:iCs/>
          <w:lang w:eastAsia="zh-CN"/>
        </w:rPr>
        <w:t xml:space="preserve">Support look-ahead </w:t>
      </w:r>
      <w:r>
        <w:rPr>
          <w:i/>
          <w:iCs/>
          <w:lang w:eastAsia="zh-CN"/>
        </w:rPr>
        <w:t>operation</w:t>
      </w:r>
      <w:r>
        <w:rPr>
          <w:rFonts w:hint="eastAsia"/>
          <w:i/>
          <w:iCs/>
          <w:lang w:eastAsia="zh-CN"/>
        </w:rPr>
        <w:t xml:space="preserve"> for dynamic power sharing in Rel-16.</w:t>
      </w:r>
    </w:p>
    <w:p>
      <w:pPr>
        <w:snapToGrid w:val="0"/>
        <w:spacing w:before="72" w:beforeLines="30"/>
      </w:pPr>
      <w:r>
        <w:rPr>
          <w:rFonts w:hint="eastAsia"/>
          <w:lang w:eastAsia="zh-CN"/>
        </w:rPr>
        <w:t>For</w:t>
      </w:r>
      <w:r>
        <w:rPr>
          <w:rFonts w:hint="eastAsia"/>
        </w:rPr>
        <w:t xml:space="preserve"> NR, PDCCH with UL grant could be at any symbol and the scheduling delay</w:t>
      </w:r>
      <w:r>
        <w:t xml:space="preserve"> and PUSCH time-domain lengths</w:t>
      </w:r>
      <w:r>
        <w:rPr>
          <w:rFonts w:hint="eastAsia"/>
        </w:rPr>
        <w:t xml:space="preserve"> are various for different transmissions. As shown in Figure </w:t>
      </w:r>
      <w:r>
        <w:t>2</w:t>
      </w:r>
      <w:r>
        <w:rPr>
          <w:rFonts w:hint="eastAsia"/>
        </w:rPr>
        <w:t xml:space="preserve">, there are 3 synchronous CCs, PUSCH TX (transmission) #1, PUSCH TX #2 and PUSCH TX #3 are scheduled by UL grant #1, UL grant #2 and UL grant #3 respectively. </w:t>
      </w:r>
      <w:r>
        <w:t xml:space="preserve">The time domain of </w:t>
      </w:r>
      <w:r>
        <w:rPr>
          <w:rFonts w:hint="eastAsia"/>
        </w:rPr>
        <w:t xml:space="preserve">PUSCH TX #1 </w:t>
      </w:r>
      <w:r>
        <w:t xml:space="preserve">is </w:t>
      </w:r>
      <w:r>
        <w:rPr>
          <w:rFonts w:hint="eastAsia"/>
        </w:rPr>
        <w:t xml:space="preserve">overlapped with PUSCH TX #2 and PUSCH TX #3. If point A is used as the time point to determine power for PUSCH #1, then PUSCH TX #2 and PUSCH TX #3 </w:t>
      </w:r>
      <w:r>
        <w:t>are not known to the UE</w:t>
      </w:r>
      <w:r>
        <w:rPr>
          <w:rFonts w:hint="eastAsia"/>
        </w:rPr>
        <w:t xml:space="preserve"> at point A. If PUSCH TX #2 and #3 have the same</w:t>
      </w:r>
      <w:r>
        <w:t xml:space="preserve"> or higher priority compared with PUSCH TX#1</w:t>
      </w:r>
      <w:r>
        <w:rPr>
          <w:rFonts w:hint="eastAsia"/>
        </w:rPr>
        <w:t xml:space="preserve">, it is NOT proper to allocate power for PUSCH TX #1 without considering PUSCH TX #2 and PUSCH TX #3. If point B is used as the time point to determine power for PUSCH #1, the scheduling of PUSCH TX #2 is </w:t>
      </w:r>
      <w:r>
        <w:t xml:space="preserve">known but </w:t>
      </w:r>
      <w:r>
        <w:rPr>
          <w:rFonts w:hint="eastAsia"/>
        </w:rPr>
        <w:t>PUSCH TX #</w:t>
      </w:r>
      <w:r>
        <w:t>3</w:t>
      </w:r>
      <w:r>
        <w:rPr>
          <w:rFonts w:hint="eastAsia"/>
        </w:rPr>
        <w:t xml:space="preserve"> is </w:t>
      </w:r>
      <w:r>
        <w:t>not known</w:t>
      </w:r>
      <w:r>
        <w:rPr>
          <w:rFonts w:hint="eastAsia"/>
        </w:rPr>
        <w:t xml:space="preserve">. If point C is used as the time point to determine power for PUSCH #1, the scheduling of PUSCH TX #2 and PUSCH TX #3 </w:t>
      </w:r>
      <w:r>
        <w:t>are both known to the UE</w:t>
      </w:r>
      <w:r>
        <w:rPr>
          <w:rFonts w:hint="eastAsia"/>
        </w:rPr>
        <w:t xml:space="preserve">. Therefore, </w:t>
      </w:r>
      <w:r>
        <w:t>it is preferred to select the time point for power determination as late as possible as long as there is still sufficient time for UE to compute and adjust its power.</w:t>
      </w:r>
      <w:r>
        <w:rPr>
          <w:rFonts w:hint="eastAsia"/>
        </w:rPr>
        <w:t xml:space="preserve"> </w:t>
      </w:r>
    </w:p>
    <w:p>
      <w:pPr>
        <w:snapToGrid w:val="0"/>
        <w:spacing w:before="72" w:beforeLines="30"/>
        <w:rPr>
          <w:b/>
          <w:i/>
        </w:rPr>
      </w:pPr>
      <w:r>
        <w:rPr>
          <w:rFonts w:hint="eastAsia"/>
          <w:lang w:eastAsia="zh-CN"/>
        </w:rPr>
        <w:t xml:space="preserve">From our point of view, </w:t>
      </w:r>
      <w:r>
        <w:rPr>
          <w:rFonts w:eastAsia="Times New Roman"/>
          <w:szCs w:val="24"/>
          <w:lang w:bidi="ar"/>
        </w:rPr>
        <w:t>0.5*T</w:t>
      </w:r>
      <w:r>
        <w:rPr>
          <w:rFonts w:eastAsia="Times New Roman"/>
          <w:szCs w:val="24"/>
          <w:vertAlign w:val="subscript"/>
          <w:lang w:bidi="ar"/>
        </w:rPr>
        <w:t>proc,2</w:t>
      </w:r>
      <w:r>
        <w:rPr>
          <w:rFonts w:hint="eastAsia"/>
          <w:szCs w:val="24"/>
          <w:vertAlign w:val="subscript"/>
          <w:lang w:eastAsia="zh-CN" w:bidi="ar"/>
        </w:rPr>
        <w:t xml:space="preserve"> </w:t>
      </w:r>
      <w:r>
        <w:rPr>
          <w:rFonts w:hint="eastAsia"/>
          <w:lang w:eastAsia="zh-CN"/>
        </w:rPr>
        <w:t xml:space="preserve">can be applied as the starting point for the cut-off time of look-ahead. Essentially, </w:t>
      </w:r>
      <w:r>
        <w:rPr>
          <w:rFonts w:eastAsia="Times New Roman"/>
          <w:szCs w:val="24"/>
          <w:lang w:bidi="ar"/>
        </w:rPr>
        <w:t>T</w:t>
      </w:r>
      <w:r>
        <w:rPr>
          <w:rFonts w:eastAsia="Times New Roman"/>
          <w:szCs w:val="24"/>
          <w:vertAlign w:val="subscript"/>
          <w:lang w:bidi="ar"/>
        </w:rPr>
        <w:t>proc,2</w:t>
      </w:r>
      <w:r>
        <w:rPr>
          <w:rFonts w:hint="eastAsia"/>
          <w:szCs w:val="24"/>
          <w:vertAlign w:val="subscript"/>
          <w:lang w:eastAsia="zh-CN" w:bidi="ar"/>
        </w:rPr>
        <w:t xml:space="preserve"> </w:t>
      </w:r>
      <w:r>
        <w:rPr>
          <w:rFonts w:hint="eastAsia"/>
          <w:lang w:eastAsia="zh-CN"/>
        </w:rPr>
        <w:t xml:space="preserve">contains two parts of time duration. The first part of time duration is mainly for UL grant processing and the second part of time duration is mainly for UL data preparation. </w:t>
      </w:r>
      <w:r>
        <w:rPr>
          <w:lang w:eastAsia="zh-CN"/>
        </w:rPr>
        <w:t>These two parts of time duration are of the similar length</w:t>
      </w:r>
      <w:r>
        <w:rPr>
          <w:rFonts w:hint="eastAsia"/>
          <w:lang w:eastAsia="zh-CN"/>
        </w:rPr>
        <w:t xml:space="preserve">, </w:t>
      </w:r>
      <w:r>
        <w:rPr>
          <w:lang w:eastAsia="zh-CN"/>
        </w:rPr>
        <w:t xml:space="preserve">thus </w:t>
      </w:r>
      <w:r>
        <w:rPr>
          <w:rFonts w:eastAsia="Times New Roman"/>
          <w:szCs w:val="24"/>
          <w:lang w:bidi="ar"/>
        </w:rPr>
        <w:t>0.5*T</w:t>
      </w:r>
      <w:r>
        <w:rPr>
          <w:rFonts w:eastAsia="Times New Roman"/>
          <w:szCs w:val="24"/>
          <w:vertAlign w:val="subscript"/>
          <w:lang w:bidi="ar"/>
        </w:rPr>
        <w:t>proc,2</w:t>
      </w:r>
      <w:r>
        <w:rPr>
          <w:rFonts w:hint="eastAsia"/>
          <w:szCs w:val="24"/>
          <w:vertAlign w:val="subscript"/>
          <w:lang w:eastAsia="zh-CN" w:bidi="ar"/>
        </w:rPr>
        <w:t xml:space="preserve"> </w:t>
      </w:r>
      <w:r>
        <w:rPr>
          <w:rFonts w:hint="eastAsia"/>
          <w:lang w:eastAsia="zh-CN"/>
        </w:rPr>
        <w:t xml:space="preserve">can be applied as the starting point of cut-off time for look-ahead operation. In other words, UE shall determine and apply its power </w:t>
      </w:r>
      <w:r>
        <w:rPr>
          <w:rFonts w:eastAsia="Times New Roman"/>
          <w:szCs w:val="24"/>
          <w:lang w:bidi="ar"/>
        </w:rPr>
        <w:t>0.5*T</w:t>
      </w:r>
      <w:r>
        <w:rPr>
          <w:rFonts w:eastAsia="Times New Roman"/>
          <w:szCs w:val="24"/>
          <w:vertAlign w:val="subscript"/>
          <w:lang w:bidi="ar"/>
        </w:rPr>
        <w:t>proc,2</w:t>
      </w:r>
      <w:r>
        <w:rPr>
          <w:rFonts w:hint="eastAsia"/>
          <w:szCs w:val="24"/>
          <w:vertAlign w:val="subscript"/>
          <w:lang w:eastAsia="zh-CN" w:bidi="ar"/>
        </w:rPr>
        <w:t xml:space="preserve"> </w:t>
      </w:r>
      <w:r>
        <w:rPr>
          <w:rFonts w:hint="eastAsia"/>
          <w:lang w:eastAsia="zh-CN"/>
        </w:rPr>
        <w:t>before the beginning of the corresponding uplink transmission.</w:t>
      </w:r>
    </w:p>
    <w:p>
      <w:pPr>
        <w:snapToGrid w:val="0"/>
        <w:spacing w:before="72" w:beforeLines="30"/>
        <w:rPr>
          <w:i/>
          <w:iCs/>
          <w:lang w:eastAsia="zh-CN"/>
        </w:rPr>
      </w:pPr>
      <w:r>
        <w:rPr>
          <w:rFonts w:hint="eastAsia"/>
          <w:b/>
          <w:i/>
        </w:rPr>
        <w:t>Proposal</w:t>
      </w:r>
      <w:r>
        <w:rPr>
          <w:b/>
          <w:i/>
        </w:rPr>
        <w:t xml:space="preserve"> </w:t>
      </w:r>
      <w:r>
        <w:rPr>
          <w:b/>
          <w:i/>
          <w:lang w:eastAsia="zh-CN"/>
        </w:rPr>
        <w:t>6</w:t>
      </w:r>
      <w:r>
        <w:rPr>
          <w:rFonts w:hint="eastAsia"/>
        </w:rPr>
        <w:t>:</w:t>
      </w:r>
      <w:r>
        <w:rPr>
          <w:rFonts w:hint="eastAsia"/>
          <w:i/>
        </w:rPr>
        <w:t xml:space="preserve"> </w:t>
      </w:r>
      <w:r>
        <w:rPr>
          <w:rFonts w:hint="eastAsia"/>
          <w:i/>
          <w:lang w:eastAsia="zh-CN"/>
        </w:rPr>
        <w:t>The cut-off time of look-ahead operation is determined as a</w:t>
      </w:r>
      <w:r>
        <w:rPr>
          <w:i/>
          <w:lang w:eastAsia="zh-CN"/>
        </w:rPr>
        <w:t>n</w:t>
      </w:r>
      <w:r>
        <w:rPr>
          <w:rFonts w:hint="eastAsia"/>
          <w:i/>
          <w:lang w:eastAsia="zh-CN"/>
        </w:rPr>
        <w:t xml:space="preserve"> offset </w:t>
      </w:r>
      <w:r>
        <w:rPr>
          <w:i/>
          <w:iCs/>
        </w:rPr>
        <w:t xml:space="preserve">before the first symbol of one </w:t>
      </w:r>
      <w:r>
        <w:rPr>
          <w:rFonts w:hint="eastAsia"/>
          <w:i/>
          <w:iCs/>
          <w:lang w:eastAsia="zh-CN"/>
        </w:rPr>
        <w:t xml:space="preserve">uplink </w:t>
      </w:r>
      <w:r>
        <w:rPr>
          <w:i/>
          <w:iCs/>
        </w:rPr>
        <w:t>transmission.</w:t>
      </w:r>
      <w:r>
        <w:rPr>
          <w:rFonts w:hint="eastAsia"/>
          <w:i/>
          <w:iCs/>
          <w:lang w:eastAsia="zh-CN"/>
        </w:rPr>
        <w:t xml:space="preserve"> </w:t>
      </w:r>
      <w:r>
        <w:rPr>
          <w:rFonts w:eastAsia="Times New Roman"/>
          <w:i/>
          <w:iCs/>
          <w:szCs w:val="24"/>
          <w:lang w:bidi="ar"/>
        </w:rPr>
        <w:t>0.5*T</w:t>
      </w:r>
      <w:r>
        <w:rPr>
          <w:rFonts w:eastAsia="Times New Roman"/>
          <w:i/>
          <w:iCs/>
          <w:szCs w:val="24"/>
          <w:vertAlign w:val="subscript"/>
          <w:lang w:bidi="ar"/>
        </w:rPr>
        <w:t>proc,2</w:t>
      </w:r>
      <w:r>
        <w:rPr>
          <w:rFonts w:hint="eastAsia"/>
          <w:i/>
          <w:iCs/>
          <w:szCs w:val="24"/>
          <w:vertAlign w:val="subscript"/>
          <w:lang w:eastAsia="zh-CN" w:bidi="ar"/>
        </w:rPr>
        <w:t xml:space="preserve"> </w:t>
      </w:r>
      <w:r>
        <w:rPr>
          <w:rFonts w:hint="eastAsia"/>
          <w:i/>
          <w:iCs/>
          <w:lang w:eastAsia="zh-CN"/>
        </w:rPr>
        <w:t>can be applied as the starting point of cut-off time for look-ahead operation.</w:t>
      </w:r>
    </w:p>
    <w:p>
      <w:pPr>
        <w:snapToGrid w:val="0"/>
        <w:spacing w:before="72" w:beforeLines="30"/>
        <w:jc w:val="center"/>
      </w:pPr>
      <w:r>
        <w:pict>
          <v:shape id="_x0000_i1025" o:spt="75" type="#_x0000_t75" style="height:165.5pt;width:374.5pt;" filled="f" o:preferrelative="t" stroked="f" coordsize="21600,21600">
            <v:path/>
            <v:fill on="f" focussize="0,0"/>
            <v:stroke on="f" joinstyle="miter"/>
            <v:imagedata r:id="rId8" o:title=""/>
            <o:lock v:ext="edit" aspectratio="t"/>
            <w10:wrap type="none"/>
            <w10:anchorlock/>
          </v:shape>
        </w:pict>
      </w:r>
    </w:p>
    <w:p>
      <w:pPr>
        <w:snapToGrid w:val="0"/>
        <w:spacing w:before="72" w:beforeLines="30"/>
        <w:jc w:val="center"/>
        <w:rPr>
          <w:bCs/>
          <w:lang w:eastAsia="zh-CN"/>
        </w:rPr>
      </w:pPr>
      <w:r>
        <w:rPr>
          <w:rFonts w:hint="eastAsia"/>
          <w:b/>
          <w:bCs/>
        </w:rPr>
        <w:t xml:space="preserve">Figure </w:t>
      </w:r>
      <w:r>
        <w:rPr>
          <w:b/>
          <w:bCs/>
        </w:rPr>
        <w:t>2</w:t>
      </w:r>
      <w:r>
        <w:rPr>
          <w:rFonts w:hint="eastAsia"/>
          <w:b/>
          <w:bCs/>
          <w:lang w:eastAsia="zh-CN"/>
        </w:rPr>
        <w:t>.</w:t>
      </w:r>
      <w:r>
        <w:rPr>
          <w:rFonts w:hint="eastAsia"/>
          <w:b/>
          <w:bCs/>
        </w:rPr>
        <w:t xml:space="preserve"> </w:t>
      </w:r>
      <w:r>
        <w:rPr>
          <w:rFonts w:hint="eastAsia"/>
          <w:bCs/>
        </w:rPr>
        <w:t xml:space="preserve">Illustration of timeline for determining power </w:t>
      </w:r>
      <w:r>
        <w:rPr>
          <w:bCs/>
        </w:rPr>
        <w:t>within one CG</w:t>
      </w:r>
      <w:r>
        <w:rPr>
          <w:bCs/>
          <w:lang w:eastAsia="zh-CN"/>
        </w:rPr>
        <w:t xml:space="preserve"> or across different CGs</w:t>
      </w:r>
    </w:p>
    <w:p>
      <w:pPr>
        <w:snapToGrid w:val="0"/>
        <w:spacing w:before="72" w:beforeLines="30"/>
        <w:rPr>
          <w:bCs/>
          <w:lang w:eastAsia="zh-CN"/>
        </w:rPr>
      </w:pPr>
      <w:r>
        <w:rPr>
          <w:bCs/>
          <w:lang w:eastAsia="zh-CN"/>
        </w:rPr>
        <w:t>The look-ahead offset is much related to UE implementation, it is hard to come up with one specific look-ahead offset for all UE implementations. To facilitate the progress of look-ahead, the look-ahead offset can be reported via UE capability. For example, four different level look-ahead operations can be defined by defining four different look-ahead offset capabilities, e.g., {</w:t>
      </w:r>
      <w:r>
        <w:rPr>
          <w:rFonts w:eastAsia="Times New Roman"/>
          <w:i/>
          <w:iCs/>
          <w:szCs w:val="24"/>
          <w:lang w:bidi="ar"/>
        </w:rPr>
        <w:t>0.5*T</w:t>
      </w:r>
      <w:r>
        <w:rPr>
          <w:rFonts w:eastAsia="Times New Roman"/>
          <w:i/>
          <w:iCs/>
          <w:szCs w:val="24"/>
          <w:vertAlign w:val="subscript"/>
          <w:lang w:bidi="ar"/>
        </w:rPr>
        <w:t>proc,2</w:t>
      </w:r>
      <w:r>
        <w:rPr>
          <w:rFonts w:eastAsia="Times New Roman"/>
          <w:i/>
          <w:iCs/>
          <w:szCs w:val="24"/>
          <w:lang w:bidi="ar"/>
        </w:rPr>
        <w:t>, 0.7*T</w:t>
      </w:r>
      <w:r>
        <w:rPr>
          <w:rFonts w:eastAsia="Times New Roman"/>
          <w:i/>
          <w:iCs/>
          <w:szCs w:val="24"/>
          <w:vertAlign w:val="subscript"/>
          <w:lang w:bidi="ar"/>
        </w:rPr>
        <w:t>proc,2</w:t>
      </w:r>
      <w:r>
        <w:rPr>
          <w:rFonts w:hint="eastAsia"/>
          <w:i/>
          <w:iCs/>
          <w:szCs w:val="24"/>
          <w:vertAlign w:val="subscript"/>
          <w:lang w:eastAsia="zh-CN" w:bidi="ar"/>
        </w:rPr>
        <w:t xml:space="preserve"> </w:t>
      </w:r>
      <w:r>
        <w:rPr>
          <w:i/>
          <w:iCs/>
          <w:szCs w:val="24"/>
          <w:lang w:eastAsia="zh-CN" w:bidi="ar"/>
        </w:rPr>
        <w:t>, 0.8*</w:t>
      </w:r>
      <w:r>
        <w:rPr>
          <w:rFonts w:eastAsia="Times New Roman"/>
          <w:i/>
          <w:iCs/>
          <w:szCs w:val="24"/>
          <w:lang w:bidi="ar"/>
        </w:rPr>
        <w:t>T</w:t>
      </w:r>
      <w:r>
        <w:rPr>
          <w:rFonts w:eastAsia="Times New Roman"/>
          <w:i/>
          <w:iCs/>
          <w:szCs w:val="24"/>
          <w:vertAlign w:val="subscript"/>
          <w:lang w:bidi="ar"/>
        </w:rPr>
        <w:t>proc,2</w:t>
      </w:r>
      <w:r>
        <w:rPr>
          <w:rFonts w:hint="eastAsia"/>
          <w:i/>
          <w:iCs/>
          <w:szCs w:val="24"/>
          <w:vertAlign w:val="subscript"/>
          <w:lang w:eastAsia="zh-CN" w:bidi="ar"/>
        </w:rPr>
        <w:t xml:space="preserve"> </w:t>
      </w:r>
      <w:r>
        <w:rPr>
          <w:i/>
          <w:iCs/>
          <w:szCs w:val="24"/>
          <w:lang w:eastAsia="zh-CN" w:bidi="ar"/>
        </w:rPr>
        <w:t xml:space="preserve">, </w:t>
      </w:r>
      <w:r>
        <w:rPr>
          <w:rFonts w:eastAsia="Times New Roman"/>
          <w:i/>
          <w:iCs/>
          <w:szCs w:val="24"/>
          <w:lang w:bidi="ar"/>
        </w:rPr>
        <w:t>T</w:t>
      </w:r>
      <w:r>
        <w:rPr>
          <w:rFonts w:eastAsia="Times New Roman"/>
          <w:i/>
          <w:iCs/>
          <w:szCs w:val="24"/>
          <w:vertAlign w:val="subscript"/>
          <w:lang w:bidi="ar"/>
        </w:rPr>
        <w:t>proc,2</w:t>
      </w:r>
      <w:r>
        <w:rPr>
          <w:rFonts w:hint="eastAsia"/>
          <w:i/>
          <w:iCs/>
          <w:szCs w:val="24"/>
          <w:vertAlign w:val="subscript"/>
          <w:lang w:eastAsia="zh-CN" w:bidi="ar"/>
        </w:rPr>
        <w:t xml:space="preserve"> </w:t>
      </w:r>
      <w:r>
        <w:rPr>
          <w:bCs/>
          <w:lang w:eastAsia="zh-CN"/>
        </w:rPr>
        <w:t>}.</w:t>
      </w:r>
    </w:p>
    <w:p>
      <w:pPr>
        <w:snapToGrid w:val="0"/>
        <w:spacing w:before="72" w:beforeLines="30"/>
        <w:rPr>
          <w:bCs/>
          <w:i/>
          <w:lang w:eastAsia="zh-CN"/>
        </w:rPr>
      </w:pPr>
      <w:r>
        <w:rPr>
          <w:b/>
          <w:bCs/>
          <w:i/>
          <w:lang w:eastAsia="zh-CN"/>
        </w:rPr>
        <w:t>Proposal 7</w:t>
      </w:r>
      <w:r>
        <w:rPr>
          <w:bCs/>
          <w:i/>
          <w:lang w:eastAsia="zh-CN"/>
        </w:rPr>
        <w:t>: Different look-ahead offsets can be reported via UE capability signaling.</w:t>
      </w:r>
    </w:p>
    <w:p>
      <w:pPr>
        <w:pStyle w:val="2"/>
        <w:rPr>
          <w:lang w:val="en-US" w:eastAsia="zh-CN"/>
        </w:rPr>
      </w:pPr>
      <w:r>
        <w:rPr>
          <w:rFonts w:hint="eastAsia"/>
          <w:lang w:val="en-US" w:eastAsia="zh-CN"/>
        </w:rPr>
        <w:t>S</w:t>
      </w:r>
      <w:r>
        <w:rPr>
          <w:lang w:val="en-US" w:eastAsia="zh-CN"/>
        </w:rPr>
        <w:t>emi-static power sharing</w:t>
      </w:r>
    </w:p>
    <w:p>
      <w:pPr>
        <w:rPr>
          <w:lang w:eastAsia="zh-CN"/>
        </w:rPr>
      </w:pPr>
      <w:r>
        <w:rPr>
          <w:lang w:eastAsia="zh-CN"/>
        </w:rPr>
        <w:t xml:space="preserve">According to the agreements listed in Section 1, two alternatives of semi-static power sharing have been discussed in last few meetings. The first alternative is to determine the maximum transmission power of one CG by taking the DL/UL formats in other CG into account, which has already been specified in NE-DC in Rel-15. </w:t>
      </w:r>
    </w:p>
    <w:p>
      <w:pPr>
        <w:rPr>
          <w:lang w:eastAsia="zh-CN"/>
        </w:rPr>
      </w:pPr>
      <w:r>
        <w:rPr>
          <w:lang w:eastAsia="zh-CN"/>
        </w:rPr>
        <w:t xml:space="preserve">Compared with Alt 2, Alt 1 provides better power utilization efficiency since it can use up to Pcmax as long as there is no overlapping UL slots in the other CG. As shown below, in NE-DC, </w:t>
      </w:r>
      <w:r>
        <w:rPr>
          <w:rFonts w:hint="eastAsia"/>
          <w:lang w:eastAsia="zh-CN"/>
        </w:rPr>
        <w:t>only one set of RRC signaling is configured from network to UE, i.e., P</w:t>
      </w:r>
      <w:r>
        <w:rPr>
          <w:vertAlign w:val="subscript"/>
          <w:lang w:eastAsia="zh-CN"/>
        </w:rPr>
        <w:t>LTE</w:t>
      </w:r>
      <w:r>
        <w:rPr>
          <w:rFonts w:hint="eastAsia"/>
          <w:lang w:eastAsia="zh-CN"/>
        </w:rPr>
        <w:t xml:space="preserve"> and P</w:t>
      </w:r>
      <w:r>
        <w:rPr>
          <w:vertAlign w:val="subscript"/>
          <w:lang w:eastAsia="zh-CN"/>
        </w:rPr>
        <w:t>NR</w:t>
      </w:r>
      <w:r>
        <w:rPr>
          <w:rFonts w:hint="eastAsia"/>
          <w:lang w:eastAsia="zh-CN"/>
        </w:rPr>
        <w:t>. If there is no potential uplink in NR, the UE determines a transmission power for SCG using P</w:t>
      </w:r>
      <w:r>
        <w:rPr>
          <w:vertAlign w:val="subscript"/>
          <w:lang w:eastAsia="zh-CN"/>
        </w:rPr>
        <w:t>CMAX</w:t>
      </w:r>
      <w:r>
        <w:rPr>
          <w:rFonts w:hint="eastAsia"/>
          <w:lang w:eastAsia="zh-CN"/>
        </w:rPr>
        <w:t xml:space="preserve"> as the maximum transmission power. Thus, NR-DC can follow the same design, i.e., Alt1-2 can be supported.</w:t>
      </w:r>
    </w:p>
    <w:p>
      <w:pPr>
        <w:rPr>
          <w:lang w:eastAsia="zh-CN"/>
        </w:rPr>
      </w:pPr>
      <w:r>
        <w:rPr>
          <w:b/>
          <w:i/>
          <w:iCs/>
          <w:lang w:eastAsia="zh-CN"/>
        </w:rPr>
        <w:t>Proposal 8</w:t>
      </w:r>
      <w:r>
        <w:rPr>
          <w:i/>
          <w:iCs/>
          <w:lang w:eastAsia="zh-CN"/>
        </w:rPr>
        <w:t>: If semi-static power sharing is supported, Alt 1-2 can be supported.</w:t>
      </w:r>
    </w:p>
    <w:tbl>
      <w:tblPr>
        <w:tblStyle w:val="59"/>
        <w:tblW w:w="96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6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628" w:type="dxa"/>
          </w:tcPr>
          <w:p>
            <w:pPr>
              <w:spacing w:before="120" w:line="280" w:lineRule="atLeast"/>
              <w:rPr>
                <w:rFonts w:ascii="New York" w:hAnsi="New York"/>
              </w:rPr>
            </w:pPr>
            <w:r>
              <w:rPr>
                <w:rFonts w:ascii="New York" w:hAnsi="New York"/>
              </w:rPr>
              <w:t xml:space="preserve">If a UE is configured with a MCG using NR radio access and with a SCG using </w:t>
            </w:r>
            <w:r>
              <w:rPr>
                <w:rFonts w:ascii="New York" w:hAnsi="New York"/>
                <w:lang w:eastAsia="ja-JP"/>
              </w:rPr>
              <w:t xml:space="preserve">E-UTRA radio access, the UE is configured a maximum power </w:t>
            </w:r>
            <w:r>
              <w:rPr>
                <w:rFonts w:ascii="Times New Roman" w:hAnsi="Times New Roman"/>
                <w:position w:val="-10"/>
              </w:rPr>
              <w:object>
                <v:shape id="_x0000_i1026" o:spt="75" type="#_x0000_t75" style="height:14.5pt;width:14.5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5" r:id="rId9">
                  <o:LockedField>false</o:LockedField>
                </o:OLEObject>
              </w:object>
            </w:r>
            <w:r>
              <w:rPr>
                <w:rFonts w:ascii="New York" w:hAnsi="New York"/>
                <w:lang w:eastAsia="ja-JP"/>
              </w:rPr>
              <w:t xml:space="preserve"> for transmissions in FR1 on the MCG by </w:t>
            </w:r>
            <w:r>
              <w:rPr>
                <w:rFonts w:ascii="New York" w:hAnsi="New York"/>
                <w:i/>
                <w:lang w:eastAsia="ja-JP"/>
              </w:rPr>
              <w:t>p-NR</w:t>
            </w:r>
            <w:r>
              <w:rPr>
                <w:rFonts w:ascii="New York" w:hAnsi="New York"/>
                <w:lang w:eastAsia="ja-JP"/>
              </w:rPr>
              <w:t xml:space="preserve"> and a maximum power </w:t>
            </w:r>
            <w:r>
              <w:rPr>
                <w:rFonts w:ascii="Times New Roman" w:hAnsi="Times New Roman"/>
                <w:position w:val="-10"/>
              </w:rPr>
              <w:object>
                <v:shape id="_x0000_i1027" o:spt="75" type="#_x0000_t75" style="height:14.5pt;width:21.5pt;" o:ole="t" filled="f" o:preferrelative="t" stroked="f" coordsize="21600,21600">
                  <v:path/>
                  <v:fill on="f" focussize="0,0"/>
                  <v:stroke on="f" joinstyle="miter"/>
                  <v:imagedata r:id="rId12" o:title=""/>
                  <o:lock v:ext="edit" aspectratio="t"/>
                  <w10:wrap type="none"/>
                  <w10:anchorlock/>
                </v:shape>
                <o:OLEObject Type="Embed" ProgID="Equation.3" ShapeID="_x0000_i1027" DrawAspect="Content" ObjectID="_1468075726" r:id="rId11">
                  <o:LockedField>false</o:LockedField>
                </o:OLEObject>
              </w:object>
            </w:r>
            <w:r>
              <w:rPr>
                <w:rFonts w:ascii="New York" w:hAnsi="New York"/>
              </w:rPr>
              <w:t xml:space="preserve"> </w:t>
            </w:r>
            <w:r>
              <w:rPr>
                <w:rFonts w:ascii="New York" w:hAnsi="New York"/>
                <w:lang w:eastAsia="ja-JP"/>
              </w:rPr>
              <w:t xml:space="preserve">for transmissions on the SCG by </w:t>
            </w:r>
            <w:r>
              <w:rPr>
                <w:rFonts w:ascii="New York" w:hAnsi="New York"/>
                <w:i/>
                <w:lang w:eastAsia="ja-JP"/>
              </w:rPr>
              <w:t>p-MaxEUTRA</w:t>
            </w:r>
            <w:r>
              <w:rPr>
                <w:rFonts w:ascii="New York" w:hAnsi="New York"/>
                <w:lang w:eastAsia="ja-JP"/>
              </w:rPr>
              <w:t xml:space="preserve">. </w:t>
            </w:r>
            <w:r>
              <w:rPr>
                <w:rFonts w:ascii="New York" w:hAnsi="New York"/>
              </w:rPr>
              <w:t xml:space="preserve">The UE determines transmission power for the MCG in FR1 as described Subclauses 7.1 through 7.5 using </w:t>
            </w:r>
            <w:r>
              <w:rPr>
                <w:rFonts w:ascii="Times New Roman" w:hAnsi="Times New Roman"/>
                <w:position w:val="-10"/>
              </w:rPr>
              <w:object>
                <v:shape id="_x0000_i1028" o:spt="75" type="#_x0000_t75" style="height:14.5pt;width:14.5pt;" o:ole="t" filled="f" o:preferrelative="t" stroked="f" coordsize="21600,21600">
                  <v:path/>
                  <v:fill on="f" focussize="0,0"/>
                  <v:stroke on="f" joinstyle="miter"/>
                  <v:imagedata r:id="rId10" o:title=""/>
                  <o:lock v:ext="edit" aspectratio="t"/>
                  <w10:wrap type="none"/>
                  <w10:anchorlock/>
                </v:shape>
                <o:OLEObject Type="Embed" ProgID="Equation.3" ShapeID="_x0000_i1028" DrawAspect="Content" ObjectID="_1468075727" r:id="rId13">
                  <o:LockedField>false</o:LockedField>
                </o:OLEObject>
              </w:object>
            </w:r>
            <w:r>
              <w:rPr>
                <w:rFonts w:ascii="New York" w:hAnsi="New York"/>
              </w:rPr>
              <w:t xml:space="preserve"> as the maximum transmission power for </w:t>
            </w:r>
            <w:r>
              <w:rPr>
                <w:rFonts w:ascii="Times New Roman" w:hAnsi="Times New Roman"/>
                <w:position w:val="-10"/>
              </w:rPr>
              <w:object>
                <v:shape id="_x0000_i1029" o:spt="75" type="#_x0000_t75" style="height:14.5pt;width:50.5pt;" o:ole="t" filled="f" o:preferrelative="t" stroked="f" coordsize="21600,21600">
                  <v:path/>
                  <v:fill on="f" focussize="0,0"/>
                  <v:stroke on="f" joinstyle="miter"/>
                  <v:imagedata r:id="rId15" o:title=""/>
                  <o:lock v:ext="edit" aspectratio="t"/>
                  <w10:wrap type="none"/>
                  <w10:anchorlock/>
                </v:shape>
                <o:OLEObject Type="Embed" ProgID="Equation.3" ShapeID="_x0000_i1029" DrawAspect="Content" ObjectID="_1468075728" r:id="rId14">
                  <o:LockedField>false</o:LockedField>
                </o:OLEObject>
              </w:object>
            </w:r>
            <w:r>
              <w:rPr>
                <w:rFonts w:ascii="New York" w:hAnsi="New York"/>
              </w:rPr>
              <w:t>. The UE determines transmission power for the MCG in FR2 as described Subclauses 7.1 through 7.5</w:t>
            </w:r>
            <w:r>
              <w:rPr>
                <w:rFonts w:ascii="New York" w:hAnsi="New York"/>
                <w:lang w:eastAsia="ja-JP"/>
              </w:rPr>
              <w:t xml:space="preserve">. </w:t>
            </w:r>
          </w:p>
          <w:p>
            <w:pPr>
              <w:spacing w:before="120" w:line="280" w:lineRule="atLeast"/>
              <w:rPr>
                <w:rFonts w:ascii="New York" w:hAnsi="New York"/>
              </w:rPr>
            </w:pPr>
            <w:r>
              <w:rPr>
                <w:rFonts w:ascii="New York" w:hAnsi="New York"/>
              </w:rPr>
              <w:t xml:space="preserve">If the </w:t>
            </w:r>
            <w:r>
              <w:rPr>
                <w:rFonts w:ascii="New York" w:hAnsi="New York"/>
                <w:lang w:eastAsia="ja-JP"/>
              </w:rPr>
              <w:t xml:space="preserve">UE </w:t>
            </w:r>
            <w:r>
              <w:rPr>
                <w:rFonts w:ascii="New York" w:hAnsi="New York"/>
              </w:rPr>
              <w:t xml:space="preserve">is not provided </w:t>
            </w:r>
            <w:r>
              <w:rPr>
                <w:rFonts w:ascii="New York" w:hAnsi="New York"/>
                <w:i/>
                <w:iCs/>
              </w:rPr>
              <w:t>tdd-UL-DL-ConfigurationCommon</w:t>
            </w:r>
            <w:r>
              <w:rPr>
                <w:rFonts w:ascii="New York" w:hAnsi="New York"/>
                <w:iCs/>
              </w:rPr>
              <w:t xml:space="preserve"> for the MCG, t</w:t>
            </w:r>
            <w:r>
              <w:rPr>
                <w:rFonts w:ascii="New York" w:hAnsi="New York"/>
              </w:rPr>
              <w:t xml:space="preserve">he UE determines a transmission power for the SCG as described in [13, TS 36.213] using </w:t>
            </w:r>
            <w:r>
              <w:rPr>
                <w:rFonts w:ascii="Times New Roman" w:hAnsi="Times New Roman"/>
                <w:position w:val="-10"/>
              </w:rPr>
              <w:object>
                <v:shape id="_x0000_i1030" o:spt="75" type="#_x0000_t75" style="height:14.5pt;width:21.5pt;" o:ole="t" filled="f" o:preferrelative="t" stroked="f" coordsize="21600,21600">
                  <v:path/>
                  <v:fill on="f" focussize="0,0"/>
                  <v:stroke on="f" joinstyle="miter"/>
                  <v:imagedata r:id="rId17" o:title=""/>
                  <o:lock v:ext="edit" aspectratio="t"/>
                  <w10:wrap type="none"/>
                  <w10:anchorlock/>
                </v:shape>
                <o:OLEObject Type="Embed" ProgID="Equation.3" ShapeID="_x0000_i1030" DrawAspect="Content" ObjectID="_1468075729" r:id="rId16">
                  <o:LockedField>false</o:LockedField>
                </o:OLEObject>
              </w:object>
            </w:r>
            <w:r>
              <w:rPr>
                <w:rFonts w:ascii="New York" w:hAnsi="New York"/>
              </w:rPr>
              <w:t xml:space="preserve"> as the maximum transmission power.</w:t>
            </w:r>
          </w:p>
          <w:p>
            <w:pPr>
              <w:pStyle w:val="87"/>
              <w:spacing w:before="120" w:line="280" w:lineRule="atLeast"/>
              <w:ind w:left="0"/>
              <w:rPr>
                <w:rFonts w:ascii="New York" w:hAnsi="New York"/>
              </w:rPr>
            </w:pPr>
            <w:r>
              <w:rPr>
                <w:rFonts w:ascii="New York" w:hAnsi="New York"/>
              </w:rPr>
              <w:t xml:space="preserve">If at least one symbol of slot </w:t>
            </w:r>
            <w:r>
              <w:rPr>
                <w:rFonts w:ascii="Times New Roman" w:hAnsi="Times New Roman"/>
                <w:position w:val="-10"/>
              </w:rPr>
              <w:object>
                <v:shape id="_x0000_i1031" o:spt="75" type="#_x0000_t75" style="height:14.5pt;width:7pt;" o:ole="t" filled="f" o:preferrelative="t" stroked="f" coordsize="21600,21600">
                  <v:path/>
                  <v:fill on="f" focussize="0,0"/>
                  <v:stroke on="f" joinstyle="miter"/>
                  <v:imagedata r:id="rId19" o:title=""/>
                  <o:lock v:ext="edit" aspectratio="t"/>
                  <w10:wrap type="none"/>
                  <w10:anchorlock/>
                </v:shape>
                <o:OLEObject Type="Embed" ProgID="Equation.3" ShapeID="_x0000_i1031" DrawAspect="Content" ObjectID="_1468075730" r:id="rId18">
                  <o:LockedField>false</o:LockedField>
                </o:OLEObject>
              </w:object>
            </w:r>
            <w:r>
              <w:rPr>
                <w:rFonts w:ascii="New York" w:hAnsi="New York"/>
              </w:rPr>
              <w:t xml:space="preserve"> of the MCG that is indicated as uplink or flexible by </w:t>
            </w:r>
            <w:r>
              <w:rPr>
                <w:rFonts w:ascii="New York" w:hAnsi="New York"/>
                <w:i/>
                <w:iCs/>
              </w:rPr>
              <w:t>tdd</w:t>
            </w:r>
            <w:r>
              <w:rPr>
                <w:rFonts w:ascii="New York" w:hAnsi="New York"/>
                <w:i/>
              </w:rPr>
              <w:t>-UL-DL-ConfigurationCommon</w:t>
            </w:r>
            <w:r>
              <w:rPr>
                <w:rFonts w:ascii="New York" w:hAnsi="New York"/>
              </w:rPr>
              <w:t xml:space="preserve"> or </w:t>
            </w:r>
            <w:r>
              <w:rPr>
                <w:rFonts w:ascii="New York" w:hAnsi="New York"/>
                <w:i/>
                <w:iCs/>
              </w:rPr>
              <w:t>tdd</w:t>
            </w:r>
            <w:r>
              <w:rPr>
                <w:rFonts w:ascii="New York" w:hAnsi="New York"/>
              </w:rPr>
              <w:t>-</w:t>
            </w:r>
            <w:r>
              <w:rPr>
                <w:rFonts w:ascii="New York" w:hAnsi="New York"/>
                <w:i/>
              </w:rPr>
              <w:t>UL-DL-ConfigurationDedicated</w:t>
            </w:r>
            <w:r>
              <w:rPr>
                <w:rFonts w:ascii="New York" w:hAnsi="New York"/>
              </w:rPr>
              <w:t xml:space="preserve"> overlaps with subframe </w:t>
            </w:r>
            <w:r>
              <w:rPr>
                <w:rFonts w:ascii="Times New Roman" w:hAnsi="Times New Roman"/>
                <w:position w:val="-10"/>
              </w:rPr>
              <w:object>
                <v:shape id="_x0000_i1032" o:spt="75" type="#_x0000_t75" style="height:14.5pt;width:7pt;" o:ole="t" filled="f" o:preferrelative="t" stroked="f" coordsize="21600,21600">
                  <v:path/>
                  <v:fill on="f" focussize="0,0"/>
                  <v:stroke on="f" joinstyle="miter"/>
                  <v:imagedata r:id="rId21" o:title=""/>
                  <o:lock v:ext="edit" aspectratio="t"/>
                  <w10:wrap type="none"/>
                  <w10:anchorlock/>
                </v:shape>
                <o:OLEObject Type="Embed" ProgID="Equation.3" ShapeID="_x0000_i1032" DrawAspect="Content" ObjectID="_1468075731" r:id="rId20">
                  <o:LockedField>false</o:LockedField>
                </o:OLEObject>
              </w:object>
            </w:r>
            <w:r>
              <w:rPr>
                <w:rFonts w:ascii="New York" w:hAnsi="New York"/>
              </w:rPr>
              <w:t xml:space="preserve"> of the SCG</w:t>
            </w:r>
          </w:p>
          <w:p>
            <w:pPr>
              <w:pStyle w:val="87"/>
              <w:spacing w:before="120" w:line="240" w:lineRule="auto"/>
              <w:ind w:left="484" w:leftChars="242"/>
              <w:rPr>
                <w:rFonts w:ascii="New York" w:hAnsi="New York"/>
              </w:rPr>
            </w:pPr>
            <w:r>
              <w:rPr>
                <w:rFonts w:ascii="New York" w:hAnsi="New York"/>
              </w:rPr>
              <w:t>-</w:t>
            </w:r>
            <w:r>
              <w:rPr>
                <w:rFonts w:ascii="New York" w:hAnsi="New York"/>
              </w:rPr>
              <w:tab/>
            </w:r>
            <w:r>
              <w:rPr>
                <w:rFonts w:ascii="New York" w:hAnsi="New York"/>
              </w:rPr>
              <w:t xml:space="preserve">for subframe </w:t>
            </w:r>
            <w:r>
              <w:rPr>
                <w:rFonts w:ascii="Times New Roman" w:hAnsi="Times New Roman"/>
                <w:position w:val="-10"/>
              </w:rPr>
              <w:object>
                <v:shape id="_x0000_i1033" o:spt="75" type="#_x0000_t75" style="height:14.5pt;width:7pt;" o:ole="t" filled="f" o:preferrelative="t" stroked="f" coordsize="21600,21600">
                  <v:path/>
                  <v:fill on="f" focussize="0,0"/>
                  <v:stroke on="f" joinstyle="miter"/>
                  <v:imagedata r:id="rId21" o:title=""/>
                  <o:lock v:ext="edit" aspectratio="t"/>
                  <w10:wrap type="none"/>
                  <w10:anchorlock/>
                </v:shape>
                <o:OLEObject Type="Embed" ProgID="Equation.3" ShapeID="_x0000_i1033" DrawAspect="Content" ObjectID="_1468075732" r:id="rId22">
                  <o:LockedField>false</o:LockedField>
                </o:OLEObject>
              </w:object>
            </w:r>
            <w:r>
              <w:rPr>
                <w:rFonts w:ascii="New York" w:hAnsi="New York"/>
              </w:rPr>
              <w:t xml:space="preserve">, the UE determines a transmission power for the SCG as described in [13, TS 36.213] using </w:t>
            </w:r>
            <w:r>
              <w:rPr>
                <w:rFonts w:ascii="Times New Roman" w:hAnsi="Times New Roman"/>
                <w:position w:val="-10"/>
              </w:rPr>
              <w:object>
                <v:shape id="_x0000_i1034" o:spt="75" type="#_x0000_t75" style="height:14.5pt;width:21.5pt;" o:ole="t" filled="f" o:preferrelative="t" stroked="f" coordsize="21600,21600">
                  <v:path/>
                  <v:fill on="f" focussize="0,0"/>
                  <v:stroke on="f" joinstyle="miter"/>
                  <v:imagedata r:id="rId17" o:title=""/>
                  <o:lock v:ext="edit" aspectratio="t"/>
                  <w10:wrap type="none"/>
                  <w10:anchorlock/>
                </v:shape>
                <o:OLEObject Type="Embed" ProgID="Equation.3" ShapeID="_x0000_i1034" DrawAspect="Content" ObjectID="_1468075733" r:id="rId23">
                  <o:LockedField>false</o:LockedField>
                </o:OLEObject>
              </w:object>
            </w:r>
            <w:r>
              <w:rPr>
                <w:rFonts w:ascii="New York" w:hAnsi="New York"/>
              </w:rPr>
              <w:t xml:space="preserve"> as the maximum transmission power </w:t>
            </w:r>
          </w:p>
          <w:p>
            <w:pPr>
              <w:pStyle w:val="87"/>
              <w:spacing w:before="120" w:line="280" w:lineRule="atLeast"/>
              <w:ind w:left="0"/>
              <w:rPr>
                <w:rFonts w:ascii="New York" w:hAnsi="New York"/>
              </w:rPr>
            </w:pPr>
            <w:r>
              <w:rPr>
                <w:rFonts w:ascii="New York" w:hAnsi="New York"/>
              </w:rPr>
              <w:t xml:space="preserve">otherwise </w:t>
            </w:r>
          </w:p>
          <w:p>
            <w:pPr>
              <w:pStyle w:val="87"/>
              <w:spacing w:before="120" w:line="280" w:lineRule="atLeast"/>
              <w:ind w:left="484" w:leftChars="242"/>
              <w:rPr>
                <w:rFonts w:ascii="New York" w:hAnsi="New York"/>
              </w:rPr>
            </w:pPr>
            <w:r>
              <w:rPr>
                <w:rFonts w:ascii="New York" w:hAnsi="New York"/>
              </w:rPr>
              <w:t>-</w:t>
            </w:r>
            <w:r>
              <w:rPr>
                <w:rFonts w:ascii="New York" w:hAnsi="New York"/>
              </w:rPr>
              <w:tab/>
            </w:r>
            <w:r>
              <w:rPr>
                <w:rFonts w:ascii="New York" w:hAnsi="New York"/>
              </w:rPr>
              <w:t xml:space="preserve">the UE determines a transmission power for the SCG as described in [13, TS 36.213] using </w:t>
            </w:r>
            <w:r>
              <w:rPr>
                <w:rFonts w:ascii="Times New Roman" w:hAnsi="Times New Roman"/>
                <w:position w:val="-12"/>
              </w:rPr>
              <w:object>
                <v:shape id="_x0000_i1035" o:spt="75" type="#_x0000_t75" style="height:14.5pt;width:29pt;" o:ole="t" filled="f" o:preferrelative="t" stroked="f" coordsize="21600,21600">
                  <v:path/>
                  <v:fill on="f" focussize="0,0"/>
                  <v:stroke on="f" joinstyle="miter"/>
                  <v:imagedata r:id="rId25" o:title=""/>
                  <o:lock v:ext="edit" aspectratio="t"/>
                  <w10:wrap type="none"/>
                  <w10:anchorlock/>
                </v:shape>
                <o:OLEObject Type="Embed" ProgID="Equation.DSMT4" ShapeID="_x0000_i1035" DrawAspect="Content" ObjectID="_1468075734" r:id="rId24">
                  <o:LockedField>false</o:LockedField>
                </o:OLEObject>
              </w:object>
            </w:r>
            <w:r>
              <w:rPr>
                <w:rFonts w:ascii="New York" w:hAnsi="New York"/>
              </w:rPr>
              <w:t xml:space="preserve"> as the maximum transmission power</w:t>
            </w:r>
          </w:p>
        </w:tc>
      </w:tr>
    </w:tbl>
    <w:p>
      <w:pPr>
        <w:ind w:left="360"/>
        <w:rPr>
          <w:lang w:eastAsia="zh-CN"/>
        </w:rPr>
      </w:pPr>
    </w:p>
    <w:p>
      <w:pPr>
        <w:rPr>
          <w:iCs/>
          <w:lang w:eastAsia="zh-CN"/>
        </w:rPr>
      </w:pPr>
      <w:r>
        <w:rPr>
          <w:iCs/>
          <w:lang w:eastAsia="zh-CN"/>
        </w:rPr>
        <w:t xml:space="preserve">It is worth noting that </w:t>
      </w:r>
      <w:r>
        <w:rPr>
          <w:rFonts w:hint="eastAsia"/>
          <w:iCs/>
          <w:lang w:eastAsia="zh-CN"/>
        </w:rPr>
        <w:t>f</w:t>
      </w:r>
      <w:r>
        <w:rPr>
          <w:iCs/>
          <w:lang w:eastAsia="zh-CN"/>
        </w:rPr>
        <w:t xml:space="preserve">or NE-DC in Rel-15, the overlapping determination is based on the unit of one slot/subframe. Even there is only one uplink/flexible symbol of one NR slot overlapping with one LTE subframe, the UE applies </w:t>
      </w:r>
      <w:r>
        <w:rPr>
          <w:position w:val="-10"/>
        </w:rPr>
        <w:object>
          <v:shape id="_x0000_i1036" o:spt="75" type="#_x0000_t75" style="height:14.5pt;width:21.5pt;" o:ole="t" filled="f" o:preferrelative="t" stroked="f" coordsize="21600,21600">
            <v:path/>
            <v:fill on="f" focussize="0,0"/>
            <v:stroke on="f" joinstyle="miter"/>
            <v:imagedata r:id="rId17" o:title=""/>
            <o:lock v:ext="edit" aspectratio="t"/>
            <w10:wrap type="none"/>
            <w10:anchorlock/>
          </v:shape>
          <o:OLEObject Type="Embed" ProgID="Equation.3" ShapeID="_x0000_i1036" DrawAspect="Content" ObjectID="_1468075735" r:id="rId26">
            <o:LockedField>false</o:LockedField>
          </o:OLEObject>
        </w:object>
      </w:r>
      <w:r>
        <w:rPr>
          <w:iCs/>
          <w:lang w:eastAsia="zh-CN"/>
        </w:rPr>
        <w:t xml:space="preserve"> as the maximum transmission power for all this LTE subframe. For Alt1 of semi-static power sharing, whether to adopt slot-level or symbol-level overlapping determination should be further discussed.</w:t>
      </w:r>
    </w:p>
    <w:p>
      <w:pPr>
        <w:rPr>
          <w:i/>
          <w:iCs/>
          <w:lang w:eastAsia="zh-CN"/>
        </w:rPr>
      </w:pPr>
      <w:r>
        <w:rPr>
          <w:b/>
          <w:i/>
          <w:iCs/>
          <w:lang w:eastAsia="zh-CN"/>
        </w:rPr>
        <w:t>Proposal 9</w:t>
      </w:r>
      <w:r>
        <w:rPr>
          <w:i/>
          <w:iCs/>
          <w:lang w:eastAsia="zh-CN"/>
        </w:rPr>
        <w:t>: For Alt1 of semi-static power sharing, whether to adopt slot-level or symbol-level overlapping determination should be further discussed.</w:t>
      </w:r>
    </w:p>
    <w:p>
      <w:pPr>
        <w:pStyle w:val="2"/>
        <w:rPr>
          <w:lang w:val="en-US" w:eastAsia="zh-CN"/>
        </w:rPr>
      </w:pPr>
      <w:r>
        <w:rPr>
          <w:rFonts w:hint="eastAsia"/>
          <w:lang w:val="en-US" w:eastAsia="zh-CN"/>
        </w:rPr>
        <w:t>Conclusion</w:t>
      </w:r>
    </w:p>
    <w:p>
      <w:pPr>
        <w:rPr>
          <w:lang w:eastAsia="zh-CN"/>
        </w:rPr>
      </w:pPr>
      <w:r>
        <w:rPr>
          <w:rFonts w:hint="eastAsia"/>
          <w:lang w:eastAsia="zh-CN"/>
        </w:rPr>
        <w:t>To sum up, we present the following proposals in this contribution.</w:t>
      </w:r>
    </w:p>
    <w:p>
      <w:pPr>
        <w:rPr>
          <w:i/>
          <w:iCs/>
          <w:lang w:eastAsia="zh-CN"/>
        </w:rPr>
      </w:pPr>
      <w:r>
        <w:rPr>
          <w:rFonts w:hint="eastAsia"/>
          <w:b/>
          <w:bCs/>
          <w:i/>
          <w:iCs/>
          <w:lang w:eastAsia="zh-CN"/>
        </w:rPr>
        <w:t>Proposal 1</w:t>
      </w:r>
      <w:r>
        <w:rPr>
          <w:rFonts w:hint="eastAsia"/>
          <w:i/>
          <w:iCs/>
          <w:lang w:eastAsia="zh-CN"/>
        </w:rPr>
        <w:t>: For Rel-16 NR-DC, support one unified signaling framework for both semi-static power sharing and dynamic power sharing and it</w:t>
      </w:r>
      <w:r>
        <w:rPr>
          <w:i/>
          <w:iCs/>
          <w:lang w:eastAsia="zh-CN"/>
        </w:rPr>
        <w:t>’</w:t>
      </w:r>
      <w:r>
        <w:rPr>
          <w:rFonts w:hint="eastAsia"/>
          <w:i/>
          <w:iCs/>
          <w:lang w:eastAsia="zh-CN"/>
        </w:rPr>
        <w:t>s up to the network whether to adopt semi-static power sharing or dynamic power sharing.</w:t>
      </w:r>
    </w:p>
    <w:p>
      <w:pPr>
        <w:rPr>
          <w:i/>
          <w:iCs/>
          <w:lang w:eastAsia="zh-CN"/>
        </w:rPr>
      </w:pPr>
      <w:r>
        <w:rPr>
          <w:rFonts w:hint="eastAsia"/>
          <w:b/>
          <w:i/>
          <w:iCs/>
          <w:lang w:eastAsia="zh-CN"/>
        </w:rPr>
        <w:t>P</w:t>
      </w:r>
      <w:r>
        <w:rPr>
          <w:b/>
          <w:i/>
          <w:iCs/>
          <w:lang w:eastAsia="zh-CN"/>
        </w:rPr>
        <w:t>roposal 2</w:t>
      </w:r>
      <w:r>
        <w:rPr>
          <w:i/>
          <w:iCs/>
          <w:lang w:eastAsia="zh-CN"/>
        </w:rPr>
        <w:t>: UEs supporting NR-DC can support dynamic power sharing mandatorily without capability signaling.</w:t>
      </w:r>
    </w:p>
    <w:p>
      <w:pPr>
        <w:rPr>
          <w:i/>
          <w:lang w:eastAsia="zh-CN"/>
        </w:rPr>
      </w:pPr>
      <w:r>
        <w:rPr>
          <w:rFonts w:hint="eastAsia"/>
          <w:b/>
          <w:i/>
          <w:lang w:eastAsia="zh-CN"/>
        </w:rPr>
        <w:t>P</w:t>
      </w:r>
      <w:r>
        <w:rPr>
          <w:b/>
          <w:i/>
          <w:lang w:eastAsia="zh-CN"/>
        </w:rPr>
        <w:t>roposal 3</w:t>
      </w:r>
      <w:r>
        <w:rPr>
          <w:i/>
          <w:lang w:eastAsia="zh-CN"/>
        </w:rPr>
        <w:t>: For NR-DC in Rel-16, determine the CG prioritization by RRC time pattern or by the dynamic UL grant information.</w:t>
      </w:r>
    </w:p>
    <w:p>
      <w:pPr>
        <w:rPr>
          <w:i/>
          <w:lang w:val="en-GB" w:eastAsia="zh-CN"/>
        </w:rPr>
      </w:pPr>
      <w:r>
        <w:rPr>
          <w:b/>
          <w:i/>
          <w:lang w:val="en-GB" w:eastAsia="zh-CN"/>
        </w:rPr>
        <w:t>Proposal 4</w:t>
      </w:r>
      <w:r>
        <w:rPr>
          <w:i/>
          <w:lang w:val="en-GB" w:eastAsia="zh-CN"/>
        </w:rPr>
        <w:t>: RRC configures P1 and P2 (P1 &lt;= P2) as the maximum power for NR-DC power sharing. After determining the CG prioritization, P1 is regarded as the maximum power for the deprioritized CG and P2 is regarded as the maximum power for the prioritized CG.</w:t>
      </w:r>
    </w:p>
    <w:p>
      <w:pPr>
        <w:rPr>
          <w:lang w:eastAsia="zh-CN"/>
        </w:rPr>
      </w:pPr>
      <w:r>
        <w:rPr>
          <w:rFonts w:hint="eastAsia"/>
          <w:b/>
          <w:i/>
          <w:sz w:val="21"/>
          <w:lang w:eastAsia="zh-CN"/>
        </w:rPr>
        <w:t>Proposal</w:t>
      </w:r>
      <w:r>
        <w:rPr>
          <w:b/>
          <w:i/>
          <w:sz w:val="21"/>
          <w:lang w:eastAsia="zh-CN"/>
        </w:rPr>
        <w:t xml:space="preserve"> 5</w:t>
      </w:r>
      <w:r>
        <w:rPr>
          <w:rFonts w:hint="eastAsia"/>
          <w:b/>
          <w:bCs/>
          <w:lang w:eastAsia="zh-CN"/>
        </w:rPr>
        <w:t>:</w:t>
      </w:r>
      <w:r>
        <w:rPr>
          <w:rFonts w:hint="eastAsia"/>
          <w:lang w:eastAsia="zh-CN"/>
        </w:rPr>
        <w:t xml:space="preserve"> </w:t>
      </w:r>
      <w:r>
        <w:rPr>
          <w:rFonts w:hint="eastAsia"/>
          <w:i/>
          <w:iCs/>
          <w:lang w:eastAsia="zh-CN"/>
        </w:rPr>
        <w:t xml:space="preserve">Support look-ahead </w:t>
      </w:r>
      <w:r>
        <w:rPr>
          <w:i/>
          <w:iCs/>
          <w:lang w:eastAsia="zh-CN"/>
        </w:rPr>
        <w:t>operation</w:t>
      </w:r>
      <w:r>
        <w:rPr>
          <w:rFonts w:hint="eastAsia"/>
          <w:i/>
          <w:iCs/>
          <w:lang w:eastAsia="zh-CN"/>
        </w:rPr>
        <w:t xml:space="preserve"> for dynamic power sharing in Rel-16.</w:t>
      </w:r>
    </w:p>
    <w:p>
      <w:pPr>
        <w:snapToGrid w:val="0"/>
        <w:spacing w:before="72" w:beforeLines="30"/>
        <w:rPr>
          <w:i/>
          <w:iCs/>
          <w:lang w:eastAsia="zh-CN"/>
        </w:rPr>
      </w:pPr>
      <w:r>
        <w:rPr>
          <w:rFonts w:hint="eastAsia"/>
          <w:b/>
          <w:i/>
        </w:rPr>
        <w:t>Proposal</w:t>
      </w:r>
      <w:r>
        <w:rPr>
          <w:b/>
          <w:i/>
        </w:rPr>
        <w:t xml:space="preserve"> </w:t>
      </w:r>
      <w:r>
        <w:rPr>
          <w:b/>
          <w:i/>
          <w:lang w:eastAsia="zh-CN"/>
        </w:rPr>
        <w:t>6</w:t>
      </w:r>
      <w:r>
        <w:rPr>
          <w:rFonts w:hint="eastAsia"/>
        </w:rPr>
        <w:t>:</w:t>
      </w:r>
      <w:r>
        <w:rPr>
          <w:rFonts w:hint="eastAsia"/>
          <w:i/>
        </w:rPr>
        <w:t xml:space="preserve"> </w:t>
      </w:r>
      <w:r>
        <w:rPr>
          <w:rFonts w:hint="eastAsia"/>
          <w:i/>
          <w:lang w:eastAsia="zh-CN"/>
        </w:rPr>
        <w:t>The cut-off time of look-ahead operation is determined as a</w:t>
      </w:r>
      <w:r>
        <w:rPr>
          <w:i/>
          <w:lang w:eastAsia="zh-CN"/>
        </w:rPr>
        <w:t>n</w:t>
      </w:r>
      <w:r>
        <w:rPr>
          <w:rFonts w:hint="eastAsia"/>
          <w:i/>
          <w:lang w:eastAsia="zh-CN"/>
        </w:rPr>
        <w:t xml:space="preserve"> offset </w:t>
      </w:r>
      <w:r>
        <w:rPr>
          <w:i/>
          <w:iCs/>
        </w:rPr>
        <w:t xml:space="preserve">before the first symbol of one </w:t>
      </w:r>
      <w:r>
        <w:rPr>
          <w:rFonts w:hint="eastAsia"/>
          <w:i/>
          <w:iCs/>
          <w:lang w:eastAsia="zh-CN"/>
        </w:rPr>
        <w:t xml:space="preserve">uplink </w:t>
      </w:r>
      <w:r>
        <w:rPr>
          <w:i/>
          <w:iCs/>
        </w:rPr>
        <w:t>transmission.</w:t>
      </w:r>
      <w:r>
        <w:rPr>
          <w:rFonts w:hint="eastAsia"/>
          <w:i/>
          <w:iCs/>
          <w:lang w:eastAsia="zh-CN"/>
        </w:rPr>
        <w:t xml:space="preserve"> </w:t>
      </w:r>
      <w:r>
        <w:rPr>
          <w:rFonts w:eastAsia="Times New Roman"/>
          <w:i/>
          <w:iCs/>
          <w:szCs w:val="24"/>
          <w:lang w:bidi="ar"/>
        </w:rPr>
        <w:t>0.5*T</w:t>
      </w:r>
      <w:r>
        <w:rPr>
          <w:rFonts w:eastAsia="Times New Roman"/>
          <w:i/>
          <w:iCs/>
          <w:szCs w:val="24"/>
          <w:vertAlign w:val="subscript"/>
          <w:lang w:bidi="ar"/>
        </w:rPr>
        <w:t>proc,2</w:t>
      </w:r>
      <w:r>
        <w:rPr>
          <w:rFonts w:hint="eastAsia"/>
          <w:i/>
          <w:iCs/>
          <w:szCs w:val="24"/>
          <w:vertAlign w:val="subscript"/>
          <w:lang w:eastAsia="zh-CN" w:bidi="ar"/>
        </w:rPr>
        <w:t xml:space="preserve"> </w:t>
      </w:r>
      <w:r>
        <w:rPr>
          <w:rFonts w:hint="eastAsia"/>
          <w:i/>
          <w:iCs/>
          <w:lang w:eastAsia="zh-CN"/>
        </w:rPr>
        <w:t>can be applied as the starting point of cut-off time for look-ahead operation.</w:t>
      </w:r>
    </w:p>
    <w:p>
      <w:pPr>
        <w:snapToGrid w:val="0"/>
        <w:spacing w:before="72" w:beforeLines="30"/>
        <w:rPr>
          <w:bCs/>
          <w:i/>
          <w:lang w:eastAsia="zh-CN"/>
        </w:rPr>
      </w:pPr>
      <w:r>
        <w:rPr>
          <w:b/>
          <w:bCs/>
          <w:i/>
          <w:lang w:eastAsia="zh-CN"/>
        </w:rPr>
        <w:t>Proposal 7</w:t>
      </w:r>
      <w:r>
        <w:rPr>
          <w:bCs/>
          <w:i/>
          <w:lang w:eastAsia="zh-CN"/>
        </w:rPr>
        <w:t>: Different look-ahead offsets can be reported via UE capability signaling.</w:t>
      </w:r>
    </w:p>
    <w:p>
      <w:pPr>
        <w:rPr>
          <w:lang w:eastAsia="zh-CN"/>
        </w:rPr>
      </w:pPr>
      <w:r>
        <w:rPr>
          <w:b/>
          <w:i/>
          <w:iCs/>
          <w:lang w:eastAsia="zh-CN"/>
        </w:rPr>
        <w:t>Proposal 8</w:t>
      </w:r>
      <w:r>
        <w:rPr>
          <w:i/>
          <w:iCs/>
          <w:lang w:eastAsia="zh-CN"/>
        </w:rPr>
        <w:t>: If semi-static power sharing is supported, Alt 1-2 can be supported.</w:t>
      </w:r>
    </w:p>
    <w:p>
      <w:pPr>
        <w:rPr>
          <w:lang w:eastAsia="zh-CN"/>
        </w:rPr>
      </w:pPr>
      <w:r>
        <w:rPr>
          <w:b/>
          <w:i/>
          <w:iCs/>
          <w:lang w:eastAsia="zh-CN"/>
        </w:rPr>
        <w:t>Proposal 9</w:t>
      </w:r>
      <w:r>
        <w:rPr>
          <w:i/>
          <w:iCs/>
          <w:lang w:eastAsia="zh-CN"/>
        </w:rPr>
        <w:t>: For Alt1 of semi-static power sharing, whether to adopt slot-level or symbol-level overlapping determination should be further discussed.</w:t>
      </w:r>
    </w:p>
    <w:p>
      <w:pPr>
        <w:pStyle w:val="2"/>
        <w:rPr>
          <w:lang w:eastAsia="zh-CN"/>
        </w:rPr>
      </w:pPr>
      <w:r>
        <w:rPr>
          <w:rFonts w:hint="eastAsia"/>
          <w:lang w:eastAsia="zh-CN"/>
        </w:rPr>
        <w:t>R</w:t>
      </w:r>
      <w:r>
        <w:rPr>
          <w:lang w:eastAsia="zh-CN"/>
        </w:rPr>
        <w:t>eference</w:t>
      </w:r>
    </w:p>
    <w:p>
      <w:pPr>
        <w:pStyle w:val="126"/>
        <w:rPr>
          <w:lang w:eastAsia="zh-CN"/>
        </w:rPr>
      </w:pPr>
      <w:bookmarkStart w:id="3" w:name="_Ref16691341"/>
      <w:bookmarkStart w:id="4" w:name="_Ref7345098"/>
      <w:r>
        <w:rPr>
          <w:lang w:eastAsia="zh-CN"/>
        </w:rPr>
        <w:t>R1-1901776, Discussion on uplink power control for NR-NR DC, ZTE, 2019-02.</w:t>
      </w:r>
      <w:bookmarkEnd w:id="3"/>
    </w:p>
    <w:p>
      <w:pPr>
        <w:pStyle w:val="126"/>
        <w:rPr>
          <w:lang w:eastAsia="zh-CN"/>
        </w:rPr>
      </w:pPr>
      <w:bookmarkStart w:id="5" w:name="_Ref16691421"/>
      <w:r>
        <w:rPr>
          <w:lang w:eastAsia="zh-CN"/>
        </w:rPr>
        <w:t>Chairman's Notes RAN1#96bis.</w:t>
      </w:r>
      <w:bookmarkEnd w:id="4"/>
      <w:bookmarkEnd w:id="5"/>
    </w:p>
    <w:p>
      <w:pPr>
        <w:pStyle w:val="126"/>
        <w:rPr>
          <w:lang w:eastAsia="zh-CN"/>
        </w:rPr>
      </w:pPr>
      <w:bookmarkStart w:id="6" w:name="_Ref7594725"/>
      <w:r>
        <w:rPr>
          <w:lang w:eastAsia="zh-CN"/>
        </w:rPr>
        <w:t>R1-1905642</w:t>
      </w:r>
      <w:r>
        <w:rPr>
          <w:rFonts w:hint="eastAsia"/>
          <w:lang w:eastAsia="zh-CN"/>
        </w:rPr>
        <w:t>,</w:t>
      </w:r>
      <w:r>
        <w:rPr>
          <w:lang w:eastAsia="zh-CN"/>
        </w:rPr>
        <w:t xml:space="preserve"> Draft CR on prioritization for transmission power scaling, ZTE, 2019-04.</w:t>
      </w:r>
      <w:bookmarkEnd w:id="6"/>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6" w:usb3="00000000" w:csb0="00040001" w:csb1="00000000"/>
  </w:font>
  <w:font w:name="Cambria">
    <w:panose1 w:val="02040503050406030204"/>
    <w:charset w:val="00"/>
    <w:family w:val="roman"/>
    <w:pitch w:val="default"/>
    <w:sig w:usb0="E00006FF" w:usb1="420024FF" w:usb2="02000000" w:usb3="00000000" w:csb0="2000019F" w:csb1="00000000"/>
  </w:font>
  <w:font w:name="New York">
    <w:altName w:val="Times New Roman"/>
    <w:panose1 w:val="02040503060506020304"/>
    <w:charset w:val="00"/>
    <w:family w:val="roman"/>
    <w:pitch w:val="default"/>
    <w:sig w:usb0="00000000" w:usb1="00000000" w:usb2="00000000" w:usb3="00000000" w:csb0="00000001" w:csb1="00000000"/>
  </w:font>
  <w:font w:name="Courier New">
    <w:panose1 w:val="02070309020205020404"/>
    <w:charset w:val="00"/>
    <w:family w:val="modern"/>
    <w:pitch w:val="default"/>
    <w:sig w:usb0="E0002EFF" w:usb1="C0007843" w:usb2="00000009" w:usb3="00000000" w:csb0="400001FF" w:csb1="FFFF0000"/>
  </w:font>
  <w:font w:name="MS Mincho">
    <w:altName w:val="Yu Gothic UI"/>
    <w:panose1 w:val="02020609040205080304"/>
    <w:charset w:val="80"/>
    <w:family w:val="roman"/>
    <w:pitch w:val="default"/>
    <w:sig w:usb0="00000000" w:usb1="00000000" w:usb2="00000010" w:usb3="00000000" w:csb0="00020000"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ind w:right="360"/>
    </w:pPr>
    <w:r>
      <w:rPr>
        <w:rStyle w:val="52"/>
      </w:rPr>
      <w:fldChar w:fldCharType="begin"/>
    </w:r>
    <w:r>
      <w:rPr>
        <w:rStyle w:val="52"/>
      </w:rPr>
      <w:instrText xml:space="preserve"> PAGE </w:instrText>
    </w:r>
    <w:r>
      <w:rPr>
        <w:rStyle w:val="52"/>
      </w:rPr>
      <w:fldChar w:fldCharType="separate"/>
    </w:r>
    <w:r>
      <w:rPr>
        <w:rStyle w:val="52"/>
      </w:rPr>
      <w:t>5</w:t>
    </w:r>
    <w:r>
      <w:rPr>
        <w:rStyle w:val="52"/>
      </w:rPr>
      <w:fldChar w:fldCharType="end"/>
    </w:r>
    <w:r>
      <w:rPr>
        <w:rStyle w:val="52"/>
      </w:rPr>
      <w:t>/</w:t>
    </w:r>
    <w:r>
      <w:rPr>
        <w:rStyle w:val="52"/>
      </w:rPr>
      <w:fldChar w:fldCharType="begin"/>
    </w:r>
    <w:r>
      <w:rPr>
        <w:rStyle w:val="52"/>
      </w:rPr>
      <w:instrText xml:space="preserve"> NUMPAGES </w:instrText>
    </w:r>
    <w:r>
      <w:rPr>
        <w:rStyle w:val="52"/>
      </w:rPr>
      <w:fldChar w:fldCharType="separate"/>
    </w:r>
    <w:r>
      <w:rPr>
        <w:rStyle w:val="52"/>
      </w:rPr>
      <w:t>5</w:t>
    </w:r>
    <w:r>
      <w:rPr>
        <w:rStyle w:val="5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8"/>
      <w:framePr w:wrap="around" w:vAnchor="text" w:hAnchor="margin" w:xAlign="right" w:y="1"/>
      <w:rPr>
        <w:rStyle w:val="52"/>
      </w:rPr>
    </w:pPr>
    <w:r>
      <w:rPr>
        <w:rStyle w:val="52"/>
      </w:rPr>
      <w:fldChar w:fldCharType="begin"/>
    </w:r>
    <w:r>
      <w:rPr>
        <w:rStyle w:val="52"/>
      </w:rPr>
      <w:instrText xml:space="preserve">PAGE  </w:instrText>
    </w:r>
    <w:r>
      <w:rPr>
        <w:rStyle w:val="52"/>
      </w:rPr>
      <w:fldChar w:fldCharType="end"/>
    </w:r>
  </w:p>
  <w:p>
    <w:pPr>
      <w:pStyle w:val="38"/>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23EB2ED3"/>
    <w:multiLevelType w:val="multilevel"/>
    <w:tmpl w:val="23EB2ED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3">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5">
    <w:nsid w:val="54F6290B"/>
    <w:multiLevelType w:val="multilevel"/>
    <w:tmpl w:val="54F6290B"/>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7"/>
  </w:num>
  <w:num w:numId="4">
    <w:abstractNumId w:val="4"/>
  </w:num>
  <w:num w:numId="5">
    <w:abstractNumId w:val="9"/>
  </w:num>
  <w:num w:numId="6">
    <w:abstractNumId w:val="6"/>
  </w:num>
  <w:num w:numId="7">
    <w:abstractNumId w:val="3"/>
  </w:num>
  <w:num w:numId="8">
    <w:abstractNumId w:val="8"/>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8"/>
  <w:doNotHyphenateCaps/>
  <w:drawingGridHorizontalSpacing w:val="100"/>
  <w:displayHorizontalDrawingGridEvery w:val="0"/>
  <w:displayVerticalDrawingGridEvery w:val="2"/>
  <w:doNotShadeFormData w:val="1"/>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084"/>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749"/>
    <w:rsid w:val="0000792C"/>
    <w:rsid w:val="00007B4B"/>
    <w:rsid w:val="00007D32"/>
    <w:rsid w:val="000101EF"/>
    <w:rsid w:val="00010360"/>
    <w:rsid w:val="000109C6"/>
    <w:rsid w:val="00010E97"/>
    <w:rsid w:val="00010FD1"/>
    <w:rsid w:val="0001117C"/>
    <w:rsid w:val="00011A84"/>
    <w:rsid w:val="000124D1"/>
    <w:rsid w:val="00012D57"/>
    <w:rsid w:val="0001321B"/>
    <w:rsid w:val="0001369A"/>
    <w:rsid w:val="000137BA"/>
    <w:rsid w:val="00013B63"/>
    <w:rsid w:val="00013F64"/>
    <w:rsid w:val="000141F0"/>
    <w:rsid w:val="00014E0E"/>
    <w:rsid w:val="00014FEF"/>
    <w:rsid w:val="00015346"/>
    <w:rsid w:val="00015BCB"/>
    <w:rsid w:val="00015CED"/>
    <w:rsid w:val="000162B2"/>
    <w:rsid w:val="00016441"/>
    <w:rsid w:val="0001645D"/>
    <w:rsid w:val="000164BB"/>
    <w:rsid w:val="000167A6"/>
    <w:rsid w:val="00016DCE"/>
    <w:rsid w:val="00017309"/>
    <w:rsid w:val="000178F8"/>
    <w:rsid w:val="0002002A"/>
    <w:rsid w:val="00020599"/>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3F4"/>
    <w:rsid w:val="00023C29"/>
    <w:rsid w:val="00023EEC"/>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017"/>
    <w:rsid w:val="0003540B"/>
    <w:rsid w:val="00035574"/>
    <w:rsid w:val="00035D1F"/>
    <w:rsid w:val="00036199"/>
    <w:rsid w:val="000364A6"/>
    <w:rsid w:val="000365A2"/>
    <w:rsid w:val="0003698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DD4"/>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586"/>
    <w:rsid w:val="000606F3"/>
    <w:rsid w:val="0006090A"/>
    <w:rsid w:val="00060FDB"/>
    <w:rsid w:val="000612C5"/>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348"/>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6FF"/>
    <w:rsid w:val="00082712"/>
    <w:rsid w:val="00082A49"/>
    <w:rsid w:val="00082C90"/>
    <w:rsid w:val="00082D86"/>
    <w:rsid w:val="000832D0"/>
    <w:rsid w:val="00083322"/>
    <w:rsid w:val="0008399B"/>
    <w:rsid w:val="00083ABE"/>
    <w:rsid w:val="00083DB2"/>
    <w:rsid w:val="00083F52"/>
    <w:rsid w:val="00084255"/>
    <w:rsid w:val="00085239"/>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56B"/>
    <w:rsid w:val="000968D8"/>
    <w:rsid w:val="0009709B"/>
    <w:rsid w:val="000970D0"/>
    <w:rsid w:val="0009720E"/>
    <w:rsid w:val="000979F0"/>
    <w:rsid w:val="00097AE8"/>
    <w:rsid w:val="000A02DC"/>
    <w:rsid w:val="000A09A2"/>
    <w:rsid w:val="000A0CA1"/>
    <w:rsid w:val="000A0E99"/>
    <w:rsid w:val="000A1AD3"/>
    <w:rsid w:val="000A1D49"/>
    <w:rsid w:val="000A1FC0"/>
    <w:rsid w:val="000A222F"/>
    <w:rsid w:val="000A23E5"/>
    <w:rsid w:val="000A26E4"/>
    <w:rsid w:val="000A2D70"/>
    <w:rsid w:val="000A31F7"/>
    <w:rsid w:val="000A3ACB"/>
    <w:rsid w:val="000A3C82"/>
    <w:rsid w:val="000A4527"/>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32D4"/>
    <w:rsid w:val="000B38DA"/>
    <w:rsid w:val="000B3F37"/>
    <w:rsid w:val="000B4788"/>
    <w:rsid w:val="000B49D7"/>
    <w:rsid w:val="000B4B9D"/>
    <w:rsid w:val="000B546F"/>
    <w:rsid w:val="000B59AA"/>
    <w:rsid w:val="000B5A30"/>
    <w:rsid w:val="000B6030"/>
    <w:rsid w:val="000B63BC"/>
    <w:rsid w:val="000B65BE"/>
    <w:rsid w:val="000B6BDF"/>
    <w:rsid w:val="000B71B6"/>
    <w:rsid w:val="000B761C"/>
    <w:rsid w:val="000B7B2B"/>
    <w:rsid w:val="000B7D5E"/>
    <w:rsid w:val="000B7D99"/>
    <w:rsid w:val="000C0028"/>
    <w:rsid w:val="000C133A"/>
    <w:rsid w:val="000C1545"/>
    <w:rsid w:val="000C1DBD"/>
    <w:rsid w:val="000C2052"/>
    <w:rsid w:val="000C22A8"/>
    <w:rsid w:val="000C240A"/>
    <w:rsid w:val="000C2DE1"/>
    <w:rsid w:val="000C2E7E"/>
    <w:rsid w:val="000C3267"/>
    <w:rsid w:val="000C393F"/>
    <w:rsid w:val="000C4065"/>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18FD"/>
    <w:rsid w:val="000D206C"/>
    <w:rsid w:val="000D2185"/>
    <w:rsid w:val="000D2578"/>
    <w:rsid w:val="000D29D6"/>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E27"/>
    <w:rsid w:val="000D6E96"/>
    <w:rsid w:val="000D7268"/>
    <w:rsid w:val="000D73AC"/>
    <w:rsid w:val="000D7783"/>
    <w:rsid w:val="000E011D"/>
    <w:rsid w:val="000E01B4"/>
    <w:rsid w:val="000E03CF"/>
    <w:rsid w:val="000E0D89"/>
    <w:rsid w:val="000E1003"/>
    <w:rsid w:val="000E14B9"/>
    <w:rsid w:val="000E182B"/>
    <w:rsid w:val="000E1E89"/>
    <w:rsid w:val="000E1E8E"/>
    <w:rsid w:val="000E2355"/>
    <w:rsid w:val="000E2787"/>
    <w:rsid w:val="000E279B"/>
    <w:rsid w:val="000E2D36"/>
    <w:rsid w:val="000E3075"/>
    <w:rsid w:val="000E311C"/>
    <w:rsid w:val="000E331F"/>
    <w:rsid w:val="000E3358"/>
    <w:rsid w:val="000E38ED"/>
    <w:rsid w:val="000E3B9B"/>
    <w:rsid w:val="000E3F84"/>
    <w:rsid w:val="000E40C3"/>
    <w:rsid w:val="000E4C9B"/>
    <w:rsid w:val="000E4D01"/>
    <w:rsid w:val="000E502E"/>
    <w:rsid w:val="000E5830"/>
    <w:rsid w:val="000E5C4E"/>
    <w:rsid w:val="000E5CA5"/>
    <w:rsid w:val="000E5E3A"/>
    <w:rsid w:val="000E63DF"/>
    <w:rsid w:val="000E6576"/>
    <w:rsid w:val="000E65A7"/>
    <w:rsid w:val="000E6635"/>
    <w:rsid w:val="000E6BAF"/>
    <w:rsid w:val="000E6EED"/>
    <w:rsid w:val="000E6F62"/>
    <w:rsid w:val="000E7C46"/>
    <w:rsid w:val="000E7F51"/>
    <w:rsid w:val="000F00D8"/>
    <w:rsid w:val="000F095B"/>
    <w:rsid w:val="000F13C4"/>
    <w:rsid w:val="000F13D7"/>
    <w:rsid w:val="000F17E4"/>
    <w:rsid w:val="000F1878"/>
    <w:rsid w:val="000F1A06"/>
    <w:rsid w:val="000F1CF3"/>
    <w:rsid w:val="000F1D2C"/>
    <w:rsid w:val="000F1F98"/>
    <w:rsid w:val="000F20CD"/>
    <w:rsid w:val="000F2965"/>
    <w:rsid w:val="000F34C7"/>
    <w:rsid w:val="000F3B40"/>
    <w:rsid w:val="000F3F2F"/>
    <w:rsid w:val="000F42EA"/>
    <w:rsid w:val="000F4C0A"/>
    <w:rsid w:val="000F4CAF"/>
    <w:rsid w:val="000F4D2F"/>
    <w:rsid w:val="000F4F44"/>
    <w:rsid w:val="000F53CB"/>
    <w:rsid w:val="000F5628"/>
    <w:rsid w:val="000F5C75"/>
    <w:rsid w:val="000F6194"/>
    <w:rsid w:val="000F6799"/>
    <w:rsid w:val="000F6881"/>
    <w:rsid w:val="000F6C32"/>
    <w:rsid w:val="000F6CB0"/>
    <w:rsid w:val="000F6D86"/>
    <w:rsid w:val="000F6FA8"/>
    <w:rsid w:val="000F7CAD"/>
    <w:rsid w:val="000F7D65"/>
    <w:rsid w:val="00100097"/>
    <w:rsid w:val="001000E9"/>
    <w:rsid w:val="00100161"/>
    <w:rsid w:val="00100169"/>
    <w:rsid w:val="001002DB"/>
    <w:rsid w:val="0010067A"/>
    <w:rsid w:val="001009BB"/>
    <w:rsid w:val="001010D7"/>
    <w:rsid w:val="0010129F"/>
    <w:rsid w:val="001013CA"/>
    <w:rsid w:val="00101489"/>
    <w:rsid w:val="0010148E"/>
    <w:rsid w:val="001017C8"/>
    <w:rsid w:val="00101A0E"/>
    <w:rsid w:val="00101ACE"/>
    <w:rsid w:val="00101D6C"/>
    <w:rsid w:val="00102147"/>
    <w:rsid w:val="001021DD"/>
    <w:rsid w:val="001021F1"/>
    <w:rsid w:val="00102366"/>
    <w:rsid w:val="00102A33"/>
    <w:rsid w:val="00102E56"/>
    <w:rsid w:val="001032D0"/>
    <w:rsid w:val="00103658"/>
    <w:rsid w:val="0010366C"/>
    <w:rsid w:val="00103ECB"/>
    <w:rsid w:val="00104058"/>
    <w:rsid w:val="0010405D"/>
    <w:rsid w:val="00104228"/>
    <w:rsid w:val="00104241"/>
    <w:rsid w:val="00104979"/>
    <w:rsid w:val="00104A80"/>
    <w:rsid w:val="001050B7"/>
    <w:rsid w:val="001050F9"/>
    <w:rsid w:val="0010521E"/>
    <w:rsid w:val="00105306"/>
    <w:rsid w:val="0010568A"/>
    <w:rsid w:val="001056C5"/>
    <w:rsid w:val="00105820"/>
    <w:rsid w:val="00105CEE"/>
    <w:rsid w:val="00105DA1"/>
    <w:rsid w:val="00105EFB"/>
    <w:rsid w:val="001065F9"/>
    <w:rsid w:val="0010660E"/>
    <w:rsid w:val="00106A95"/>
    <w:rsid w:val="00106C39"/>
    <w:rsid w:val="00106CC3"/>
    <w:rsid w:val="00106E7E"/>
    <w:rsid w:val="00106FF1"/>
    <w:rsid w:val="00107423"/>
    <w:rsid w:val="0010795D"/>
    <w:rsid w:val="00107B52"/>
    <w:rsid w:val="00107C93"/>
    <w:rsid w:val="0011034F"/>
    <w:rsid w:val="0011036F"/>
    <w:rsid w:val="00110851"/>
    <w:rsid w:val="00111494"/>
    <w:rsid w:val="001115C0"/>
    <w:rsid w:val="001115F4"/>
    <w:rsid w:val="001116D2"/>
    <w:rsid w:val="0011190B"/>
    <w:rsid w:val="00111AD9"/>
    <w:rsid w:val="0011211A"/>
    <w:rsid w:val="0011211D"/>
    <w:rsid w:val="0011230B"/>
    <w:rsid w:val="001126ED"/>
    <w:rsid w:val="00112704"/>
    <w:rsid w:val="00112975"/>
    <w:rsid w:val="00112B8F"/>
    <w:rsid w:val="001134DA"/>
    <w:rsid w:val="0011372B"/>
    <w:rsid w:val="00113BC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C13"/>
    <w:rsid w:val="00121769"/>
    <w:rsid w:val="00121E1A"/>
    <w:rsid w:val="00122727"/>
    <w:rsid w:val="00122842"/>
    <w:rsid w:val="001228DE"/>
    <w:rsid w:val="001232D2"/>
    <w:rsid w:val="0012345C"/>
    <w:rsid w:val="00123486"/>
    <w:rsid w:val="00123975"/>
    <w:rsid w:val="00123DED"/>
    <w:rsid w:val="00124033"/>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AC6"/>
    <w:rsid w:val="001321CE"/>
    <w:rsid w:val="0013220F"/>
    <w:rsid w:val="001322B0"/>
    <w:rsid w:val="00132671"/>
    <w:rsid w:val="00132767"/>
    <w:rsid w:val="00132917"/>
    <w:rsid w:val="00132A6B"/>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2DC"/>
    <w:rsid w:val="00136998"/>
    <w:rsid w:val="00136AAD"/>
    <w:rsid w:val="00136EE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0C46"/>
    <w:rsid w:val="001510ED"/>
    <w:rsid w:val="001516D9"/>
    <w:rsid w:val="001517AB"/>
    <w:rsid w:val="00151805"/>
    <w:rsid w:val="00151897"/>
    <w:rsid w:val="00151A0C"/>
    <w:rsid w:val="00152066"/>
    <w:rsid w:val="001522B3"/>
    <w:rsid w:val="00152559"/>
    <w:rsid w:val="00152744"/>
    <w:rsid w:val="00152A3B"/>
    <w:rsid w:val="00152FEE"/>
    <w:rsid w:val="0015347E"/>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A42"/>
    <w:rsid w:val="00165D2D"/>
    <w:rsid w:val="00165D9A"/>
    <w:rsid w:val="001660C6"/>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42A6"/>
    <w:rsid w:val="00174C5D"/>
    <w:rsid w:val="00174DDB"/>
    <w:rsid w:val="00175009"/>
    <w:rsid w:val="001752EC"/>
    <w:rsid w:val="00175A6E"/>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65D"/>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1727"/>
    <w:rsid w:val="00191EBF"/>
    <w:rsid w:val="00192338"/>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0EF"/>
    <w:rsid w:val="0019734F"/>
    <w:rsid w:val="00197624"/>
    <w:rsid w:val="001976B8"/>
    <w:rsid w:val="001A0303"/>
    <w:rsid w:val="001A0313"/>
    <w:rsid w:val="001A0676"/>
    <w:rsid w:val="001A067A"/>
    <w:rsid w:val="001A06C8"/>
    <w:rsid w:val="001A1337"/>
    <w:rsid w:val="001A1CAA"/>
    <w:rsid w:val="001A1D6F"/>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AFE"/>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718"/>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8B"/>
    <w:rsid w:val="001B768B"/>
    <w:rsid w:val="001B7905"/>
    <w:rsid w:val="001C005D"/>
    <w:rsid w:val="001C0085"/>
    <w:rsid w:val="001C063F"/>
    <w:rsid w:val="001C0874"/>
    <w:rsid w:val="001C0883"/>
    <w:rsid w:val="001C0FF5"/>
    <w:rsid w:val="001C12A0"/>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79B"/>
    <w:rsid w:val="001C589B"/>
    <w:rsid w:val="001C58A6"/>
    <w:rsid w:val="001C5BC8"/>
    <w:rsid w:val="001C5DBB"/>
    <w:rsid w:val="001C5F88"/>
    <w:rsid w:val="001C6182"/>
    <w:rsid w:val="001C619C"/>
    <w:rsid w:val="001C639F"/>
    <w:rsid w:val="001C66D2"/>
    <w:rsid w:val="001C7324"/>
    <w:rsid w:val="001C7426"/>
    <w:rsid w:val="001C7F47"/>
    <w:rsid w:val="001D006C"/>
    <w:rsid w:val="001D01A8"/>
    <w:rsid w:val="001D056C"/>
    <w:rsid w:val="001D0578"/>
    <w:rsid w:val="001D0593"/>
    <w:rsid w:val="001D1258"/>
    <w:rsid w:val="001D18A7"/>
    <w:rsid w:val="001D19F8"/>
    <w:rsid w:val="001D1CFF"/>
    <w:rsid w:val="001D1E1F"/>
    <w:rsid w:val="001D22C6"/>
    <w:rsid w:val="001D23A3"/>
    <w:rsid w:val="001D2B3C"/>
    <w:rsid w:val="001D2E6C"/>
    <w:rsid w:val="001D2F8F"/>
    <w:rsid w:val="001D35DC"/>
    <w:rsid w:val="001D43C0"/>
    <w:rsid w:val="001D448E"/>
    <w:rsid w:val="001D4969"/>
    <w:rsid w:val="001D4AF0"/>
    <w:rsid w:val="001D4F24"/>
    <w:rsid w:val="001D506F"/>
    <w:rsid w:val="001D57BC"/>
    <w:rsid w:val="001D65DA"/>
    <w:rsid w:val="001D6E61"/>
    <w:rsid w:val="001D6F30"/>
    <w:rsid w:val="001D723D"/>
    <w:rsid w:val="001D7260"/>
    <w:rsid w:val="001D7816"/>
    <w:rsid w:val="001D7ADE"/>
    <w:rsid w:val="001D7B96"/>
    <w:rsid w:val="001D7FE2"/>
    <w:rsid w:val="001E0772"/>
    <w:rsid w:val="001E09F4"/>
    <w:rsid w:val="001E0A73"/>
    <w:rsid w:val="001E111F"/>
    <w:rsid w:val="001E11B1"/>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059"/>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4B3"/>
    <w:rsid w:val="0020671A"/>
    <w:rsid w:val="0020674D"/>
    <w:rsid w:val="00206BF6"/>
    <w:rsid w:val="00206E5A"/>
    <w:rsid w:val="00207613"/>
    <w:rsid w:val="0020774E"/>
    <w:rsid w:val="00207847"/>
    <w:rsid w:val="00207AF9"/>
    <w:rsid w:val="00207BB9"/>
    <w:rsid w:val="00207D03"/>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5F53"/>
    <w:rsid w:val="002262AF"/>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21F2"/>
    <w:rsid w:val="00242674"/>
    <w:rsid w:val="0024284B"/>
    <w:rsid w:val="0024286B"/>
    <w:rsid w:val="00242B2A"/>
    <w:rsid w:val="00242CAE"/>
    <w:rsid w:val="002435D4"/>
    <w:rsid w:val="00243ACD"/>
    <w:rsid w:val="00243B7F"/>
    <w:rsid w:val="00243FCB"/>
    <w:rsid w:val="0024445A"/>
    <w:rsid w:val="0024451B"/>
    <w:rsid w:val="00244606"/>
    <w:rsid w:val="00244924"/>
    <w:rsid w:val="002449F4"/>
    <w:rsid w:val="00245115"/>
    <w:rsid w:val="0024514D"/>
    <w:rsid w:val="00245167"/>
    <w:rsid w:val="0024520E"/>
    <w:rsid w:val="0024530E"/>
    <w:rsid w:val="00245492"/>
    <w:rsid w:val="00245A41"/>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6CF"/>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905"/>
    <w:rsid w:val="002539D5"/>
    <w:rsid w:val="0025429A"/>
    <w:rsid w:val="00254F38"/>
    <w:rsid w:val="00255C17"/>
    <w:rsid w:val="00256366"/>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7F6"/>
    <w:rsid w:val="00261D05"/>
    <w:rsid w:val="00261E67"/>
    <w:rsid w:val="002623AC"/>
    <w:rsid w:val="00262979"/>
    <w:rsid w:val="00263038"/>
    <w:rsid w:val="002631DC"/>
    <w:rsid w:val="0026382D"/>
    <w:rsid w:val="0026385F"/>
    <w:rsid w:val="00263B75"/>
    <w:rsid w:val="00263DD9"/>
    <w:rsid w:val="00264256"/>
    <w:rsid w:val="0026432F"/>
    <w:rsid w:val="0026455A"/>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989"/>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3B32"/>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3AA"/>
    <w:rsid w:val="00292540"/>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1E65"/>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BF5"/>
    <w:rsid w:val="002A5C8D"/>
    <w:rsid w:val="002A5FC1"/>
    <w:rsid w:val="002A6EF8"/>
    <w:rsid w:val="002A732C"/>
    <w:rsid w:val="002A7671"/>
    <w:rsid w:val="002A7A6A"/>
    <w:rsid w:val="002A7AB4"/>
    <w:rsid w:val="002B07BF"/>
    <w:rsid w:val="002B0805"/>
    <w:rsid w:val="002B0960"/>
    <w:rsid w:val="002B0C99"/>
    <w:rsid w:val="002B10F9"/>
    <w:rsid w:val="002B12C7"/>
    <w:rsid w:val="002B1939"/>
    <w:rsid w:val="002B1AF1"/>
    <w:rsid w:val="002B1AFA"/>
    <w:rsid w:val="002B1D73"/>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554"/>
    <w:rsid w:val="002C1823"/>
    <w:rsid w:val="002C1B17"/>
    <w:rsid w:val="002C1D21"/>
    <w:rsid w:val="002C203A"/>
    <w:rsid w:val="002C2419"/>
    <w:rsid w:val="002C2AE9"/>
    <w:rsid w:val="002C2B29"/>
    <w:rsid w:val="002C2E8A"/>
    <w:rsid w:val="002C2FCD"/>
    <w:rsid w:val="002C3325"/>
    <w:rsid w:val="002C3AE4"/>
    <w:rsid w:val="002C3E89"/>
    <w:rsid w:val="002C42AA"/>
    <w:rsid w:val="002C4857"/>
    <w:rsid w:val="002C493A"/>
    <w:rsid w:val="002C4A25"/>
    <w:rsid w:val="002C4AF6"/>
    <w:rsid w:val="002C5533"/>
    <w:rsid w:val="002C5620"/>
    <w:rsid w:val="002C5A6B"/>
    <w:rsid w:val="002C61E0"/>
    <w:rsid w:val="002C640C"/>
    <w:rsid w:val="002C6D3C"/>
    <w:rsid w:val="002C7114"/>
    <w:rsid w:val="002C76DE"/>
    <w:rsid w:val="002C782F"/>
    <w:rsid w:val="002C7B03"/>
    <w:rsid w:val="002C7B0D"/>
    <w:rsid w:val="002C7EBB"/>
    <w:rsid w:val="002D001E"/>
    <w:rsid w:val="002D0115"/>
    <w:rsid w:val="002D0298"/>
    <w:rsid w:val="002D04DC"/>
    <w:rsid w:val="002D0657"/>
    <w:rsid w:val="002D0769"/>
    <w:rsid w:val="002D0820"/>
    <w:rsid w:val="002D09B3"/>
    <w:rsid w:val="002D1258"/>
    <w:rsid w:val="002D13B7"/>
    <w:rsid w:val="002D2A64"/>
    <w:rsid w:val="002D2B4E"/>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5A5"/>
    <w:rsid w:val="002E16BC"/>
    <w:rsid w:val="002E19AD"/>
    <w:rsid w:val="002E1BA1"/>
    <w:rsid w:val="002E1E06"/>
    <w:rsid w:val="002E25D2"/>
    <w:rsid w:val="002E2738"/>
    <w:rsid w:val="002E2923"/>
    <w:rsid w:val="002E2A72"/>
    <w:rsid w:val="002E2A76"/>
    <w:rsid w:val="002E306D"/>
    <w:rsid w:val="002E3653"/>
    <w:rsid w:val="002E38B7"/>
    <w:rsid w:val="002E4301"/>
    <w:rsid w:val="002E44ED"/>
    <w:rsid w:val="002E52EB"/>
    <w:rsid w:val="002E58E1"/>
    <w:rsid w:val="002E5BDD"/>
    <w:rsid w:val="002E5C56"/>
    <w:rsid w:val="002E5D86"/>
    <w:rsid w:val="002E5DD7"/>
    <w:rsid w:val="002E6809"/>
    <w:rsid w:val="002E7780"/>
    <w:rsid w:val="002F0045"/>
    <w:rsid w:val="002F00F0"/>
    <w:rsid w:val="002F025B"/>
    <w:rsid w:val="002F0684"/>
    <w:rsid w:val="002F09C0"/>
    <w:rsid w:val="002F0ADB"/>
    <w:rsid w:val="002F0E34"/>
    <w:rsid w:val="002F22C3"/>
    <w:rsid w:val="002F2AE0"/>
    <w:rsid w:val="002F31C4"/>
    <w:rsid w:val="002F322F"/>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1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598E"/>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4AA"/>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14B"/>
    <w:rsid w:val="00354FE6"/>
    <w:rsid w:val="003552C6"/>
    <w:rsid w:val="003558FD"/>
    <w:rsid w:val="00355A83"/>
    <w:rsid w:val="00355B77"/>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6F47"/>
    <w:rsid w:val="0036707B"/>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80543"/>
    <w:rsid w:val="00380602"/>
    <w:rsid w:val="00380892"/>
    <w:rsid w:val="00380B01"/>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1B1"/>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E0E"/>
    <w:rsid w:val="003C4F25"/>
    <w:rsid w:val="003C638C"/>
    <w:rsid w:val="003C64CD"/>
    <w:rsid w:val="003C6580"/>
    <w:rsid w:val="003C6CCB"/>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ED1"/>
    <w:rsid w:val="003E700A"/>
    <w:rsid w:val="003E7313"/>
    <w:rsid w:val="003E73BC"/>
    <w:rsid w:val="003E76BB"/>
    <w:rsid w:val="003E7706"/>
    <w:rsid w:val="003E7C5E"/>
    <w:rsid w:val="003F0077"/>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A56"/>
    <w:rsid w:val="003F2A8D"/>
    <w:rsid w:val="003F348A"/>
    <w:rsid w:val="003F4057"/>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3369"/>
    <w:rsid w:val="004138DB"/>
    <w:rsid w:val="004139A9"/>
    <w:rsid w:val="004145AE"/>
    <w:rsid w:val="004147D1"/>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41"/>
    <w:rsid w:val="0041743D"/>
    <w:rsid w:val="004174FC"/>
    <w:rsid w:val="00417678"/>
    <w:rsid w:val="00417839"/>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30178"/>
    <w:rsid w:val="004303B3"/>
    <w:rsid w:val="0043042C"/>
    <w:rsid w:val="00430495"/>
    <w:rsid w:val="0043063B"/>
    <w:rsid w:val="00430733"/>
    <w:rsid w:val="00430BBE"/>
    <w:rsid w:val="00430D78"/>
    <w:rsid w:val="00431149"/>
    <w:rsid w:val="0043189C"/>
    <w:rsid w:val="004318FF"/>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2D5"/>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6F04"/>
    <w:rsid w:val="004478FA"/>
    <w:rsid w:val="00447FB0"/>
    <w:rsid w:val="004503F9"/>
    <w:rsid w:val="00450778"/>
    <w:rsid w:val="00450D3B"/>
    <w:rsid w:val="0045169D"/>
    <w:rsid w:val="004518D5"/>
    <w:rsid w:val="00451A0F"/>
    <w:rsid w:val="00451B06"/>
    <w:rsid w:val="00451BEB"/>
    <w:rsid w:val="004520FE"/>
    <w:rsid w:val="004527C0"/>
    <w:rsid w:val="00452D50"/>
    <w:rsid w:val="004537F4"/>
    <w:rsid w:val="00453871"/>
    <w:rsid w:val="00453980"/>
    <w:rsid w:val="00453BB4"/>
    <w:rsid w:val="00453DEF"/>
    <w:rsid w:val="004540AC"/>
    <w:rsid w:val="004543E4"/>
    <w:rsid w:val="004548E5"/>
    <w:rsid w:val="00454ACD"/>
    <w:rsid w:val="00454E44"/>
    <w:rsid w:val="00454F08"/>
    <w:rsid w:val="00454F85"/>
    <w:rsid w:val="00455105"/>
    <w:rsid w:val="00455E20"/>
    <w:rsid w:val="00456114"/>
    <w:rsid w:val="0045623E"/>
    <w:rsid w:val="00456406"/>
    <w:rsid w:val="00456971"/>
    <w:rsid w:val="00456AC7"/>
    <w:rsid w:val="0045742D"/>
    <w:rsid w:val="00457C5E"/>
    <w:rsid w:val="0046026D"/>
    <w:rsid w:val="0046027A"/>
    <w:rsid w:val="00460344"/>
    <w:rsid w:val="00460535"/>
    <w:rsid w:val="004605CC"/>
    <w:rsid w:val="0046072D"/>
    <w:rsid w:val="00460921"/>
    <w:rsid w:val="00460958"/>
    <w:rsid w:val="00460DF0"/>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EEC"/>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CC4"/>
    <w:rsid w:val="00471DB0"/>
    <w:rsid w:val="00471FAB"/>
    <w:rsid w:val="004721A1"/>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5B8"/>
    <w:rsid w:val="00497C03"/>
    <w:rsid w:val="004A01E1"/>
    <w:rsid w:val="004A0E00"/>
    <w:rsid w:val="004A15F7"/>
    <w:rsid w:val="004A1600"/>
    <w:rsid w:val="004A1AE5"/>
    <w:rsid w:val="004A1B5E"/>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C"/>
    <w:rsid w:val="004A366E"/>
    <w:rsid w:val="004A36C0"/>
    <w:rsid w:val="004A3AA3"/>
    <w:rsid w:val="004A3CB9"/>
    <w:rsid w:val="004A4214"/>
    <w:rsid w:val="004A421E"/>
    <w:rsid w:val="004A4625"/>
    <w:rsid w:val="004A4638"/>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C0D"/>
    <w:rsid w:val="004A7EE7"/>
    <w:rsid w:val="004A7FB0"/>
    <w:rsid w:val="004B0706"/>
    <w:rsid w:val="004B0780"/>
    <w:rsid w:val="004B0787"/>
    <w:rsid w:val="004B1313"/>
    <w:rsid w:val="004B169E"/>
    <w:rsid w:val="004B19BB"/>
    <w:rsid w:val="004B1C42"/>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07A"/>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06F"/>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71C"/>
    <w:rsid w:val="004E4879"/>
    <w:rsid w:val="004E4EF1"/>
    <w:rsid w:val="004E524E"/>
    <w:rsid w:val="004E53AE"/>
    <w:rsid w:val="004E5449"/>
    <w:rsid w:val="004E56FE"/>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C4D"/>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AFE"/>
    <w:rsid w:val="004F6F20"/>
    <w:rsid w:val="004F735F"/>
    <w:rsid w:val="004F7373"/>
    <w:rsid w:val="004F73A5"/>
    <w:rsid w:val="004F76A6"/>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4C6"/>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9A2"/>
    <w:rsid w:val="00514CEE"/>
    <w:rsid w:val="005150E4"/>
    <w:rsid w:val="0051548D"/>
    <w:rsid w:val="00515507"/>
    <w:rsid w:val="00515708"/>
    <w:rsid w:val="00515746"/>
    <w:rsid w:val="00515907"/>
    <w:rsid w:val="00515E2B"/>
    <w:rsid w:val="0051640A"/>
    <w:rsid w:val="00516823"/>
    <w:rsid w:val="00516B96"/>
    <w:rsid w:val="00516E9E"/>
    <w:rsid w:val="00516EB8"/>
    <w:rsid w:val="005173A4"/>
    <w:rsid w:val="005179DC"/>
    <w:rsid w:val="0052001B"/>
    <w:rsid w:val="00520518"/>
    <w:rsid w:val="00520AE3"/>
    <w:rsid w:val="00521294"/>
    <w:rsid w:val="0052173F"/>
    <w:rsid w:val="00521B34"/>
    <w:rsid w:val="00521D65"/>
    <w:rsid w:val="005221A4"/>
    <w:rsid w:val="00522A2C"/>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15D"/>
    <w:rsid w:val="00526270"/>
    <w:rsid w:val="005268AA"/>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5B9"/>
    <w:rsid w:val="0053268B"/>
    <w:rsid w:val="005328D8"/>
    <w:rsid w:val="00532B16"/>
    <w:rsid w:val="00532C9D"/>
    <w:rsid w:val="00533215"/>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0DCD"/>
    <w:rsid w:val="005417A0"/>
    <w:rsid w:val="005417ED"/>
    <w:rsid w:val="0054183A"/>
    <w:rsid w:val="00541D0D"/>
    <w:rsid w:val="00541E2B"/>
    <w:rsid w:val="00543046"/>
    <w:rsid w:val="0054340E"/>
    <w:rsid w:val="0054348B"/>
    <w:rsid w:val="005436D7"/>
    <w:rsid w:val="00543703"/>
    <w:rsid w:val="00543A06"/>
    <w:rsid w:val="00543A66"/>
    <w:rsid w:val="00543A83"/>
    <w:rsid w:val="00543B1F"/>
    <w:rsid w:val="00543FA3"/>
    <w:rsid w:val="00544624"/>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764"/>
    <w:rsid w:val="0057088B"/>
    <w:rsid w:val="005708C3"/>
    <w:rsid w:val="005708C6"/>
    <w:rsid w:val="00570C83"/>
    <w:rsid w:val="00570EF6"/>
    <w:rsid w:val="00571358"/>
    <w:rsid w:val="00571382"/>
    <w:rsid w:val="005713CF"/>
    <w:rsid w:val="005713EF"/>
    <w:rsid w:val="0057195D"/>
    <w:rsid w:val="005719F4"/>
    <w:rsid w:val="00571B71"/>
    <w:rsid w:val="0057229E"/>
    <w:rsid w:val="00572583"/>
    <w:rsid w:val="00572643"/>
    <w:rsid w:val="00572995"/>
    <w:rsid w:val="005729A6"/>
    <w:rsid w:val="00572F26"/>
    <w:rsid w:val="005730FF"/>
    <w:rsid w:val="005731E0"/>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2B6"/>
    <w:rsid w:val="005829CC"/>
    <w:rsid w:val="00582E3D"/>
    <w:rsid w:val="00583147"/>
    <w:rsid w:val="005836D0"/>
    <w:rsid w:val="005838C8"/>
    <w:rsid w:val="00583DEF"/>
    <w:rsid w:val="00583E78"/>
    <w:rsid w:val="00584286"/>
    <w:rsid w:val="00584496"/>
    <w:rsid w:val="00584AA2"/>
    <w:rsid w:val="005852AA"/>
    <w:rsid w:val="00585867"/>
    <w:rsid w:val="00585C3A"/>
    <w:rsid w:val="00585EA1"/>
    <w:rsid w:val="00586013"/>
    <w:rsid w:val="00586182"/>
    <w:rsid w:val="0058628A"/>
    <w:rsid w:val="00586B34"/>
    <w:rsid w:val="00587117"/>
    <w:rsid w:val="00587334"/>
    <w:rsid w:val="0058759B"/>
    <w:rsid w:val="0058764D"/>
    <w:rsid w:val="005909AD"/>
    <w:rsid w:val="00590BF6"/>
    <w:rsid w:val="00591B9C"/>
    <w:rsid w:val="00591C29"/>
    <w:rsid w:val="00592160"/>
    <w:rsid w:val="005923C9"/>
    <w:rsid w:val="00592630"/>
    <w:rsid w:val="0059284F"/>
    <w:rsid w:val="00592E68"/>
    <w:rsid w:val="0059323A"/>
    <w:rsid w:val="00593447"/>
    <w:rsid w:val="00593D65"/>
    <w:rsid w:val="00594131"/>
    <w:rsid w:val="005943C6"/>
    <w:rsid w:val="005946E2"/>
    <w:rsid w:val="0059478F"/>
    <w:rsid w:val="0059486C"/>
    <w:rsid w:val="00595308"/>
    <w:rsid w:val="00595777"/>
    <w:rsid w:val="005959F7"/>
    <w:rsid w:val="00595DA2"/>
    <w:rsid w:val="00595E51"/>
    <w:rsid w:val="00595E99"/>
    <w:rsid w:val="00596308"/>
    <w:rsid w:val="0059634D"/>
    <w:rsid w:val="005968C4"/>
    <w:rsid w:val="00596C01"/>
    <w:rsid w:val="0059715B"/>
    <w:rsid w:val="00597605"/>
    <w:rsid w:val="005978AF"/>
    <w:rsid w:val="00597A36"/>
    <w:rsid w:val="00597DF6"/>
    <w:rsid w:val="00597FAA"/>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F72"/>
    <w:rsid w:val="005B0424"/>
    <w:rsid w:val="005B05DB"/>
    <w:rsid w:val="005B0A7D"/>
    <w:rsid w:val="005B0D23"/>
    <w:rsid w:val="005B0F18"/>
    <w:rsid w:val="005B1197"/>
    <w:rsid w:val="005B16CC"/>
    <w:rsid w:val="005B18BB"/>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67F"/>
    <w:rsid w:val="005B6FAE"/>
    <w:rsid w:val="005B7035"/>
    <w:rsid w:val="005B703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6D7"/>
    <w:rsid w:val="005C49E2"/>
    <w:rsid w:val="005C4B4D"/>
    <w:rsid w:val="005C4CD6"/>
    <w:rsid w:val="005C4DE3"/>
    <w:rsid w:val="005C5024"/>
    <w:rsid w:val="005C5372"/>
    <w:rsid w:val="005C5379"/>
    <w:rsid w:val="005C537D"/>
    <w:rsid w:val="005C5425"/>
    <w:rsid w:val="005C5849"/>
    <w:rsid w:val="005C5A28"/>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1E47"/>
    <w:rsid w:val="005D20FC"/>
    <w:rsid w:val="005D24A2"/>
    <w:rsid w:val="005D25D7"/>
    <w:rsid w:val="005D29D2"/>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2F7"/>
    <w:rsid w:val="005E06E1"/>
    <w:rsid w:val="005E0763"/>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D7"/>
    <w:rsid w:val="005E6AFB"/>
    <w:rsid w:val="005E7698"/>
    <w:rsid w:val="005E7849"/>
    <w:rsid w:val="005E7A8C"/>
    <w:rsid w:val="005F06FA"/>
    <w:rsid w:val="005F06FD"/>
    <w:rsid w:val="005F0B4C"/>
    <w:rsid w:val="005F0B53"/>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6004DE"/>
    <w:rsid w:val="00600AAB"/>
    <w:rsid w:val="00600B6C"/>
    <w:rsid w:val="00600BE4"/>
    <w:rsid w:val="00601072"/>
    <w:rsid w:val="00601097"/>
    <w:rsid w:val="0060144E"/>
    <w:rsid w:val="006014F8"/>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4F74"/>
    <w:rsid w:val="00605399"/>
    <w:rsid w:val="006054EE"/>
    <w:rsid w:val="0060591D"/>
    <w:rsid w:val="006059EC"/>
    <w:rsid w:val="00605A02"/>
    <w:rsid w:val="00605A5D"/>
    <w:rsid w:val="00605B5D"/>
    <w:rsid w:val="00606E5E"/>
    <w:rsid w:val="006074B1"/>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7DB"/>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AEB"/>
    <w:rsid w:val="00623E4E"/>
    <w:rsid w:val="00624B23"/>
    <w:rsid w:val="00624C2C"/>
    <w:rsid w:val="00624C6E"/>
    <w:rsid w:val="00624FB3"/>
    <w:rsid w:val="00624FF1"/>
    <w:rsid w:val="0062507D"/>
    <w:rsid w:val="0062587D"/>
    <w:rsid w:val="00625B24"/>
    <w:rsid w:val="0062657C"/>
    <w:rsid w:val="00626C25"/>
    <w:rsid w:val="00626E64"/>
    <w:rsid w:val="0062725A"/>
    <w:rsid w:val="0062776C"/>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5C19"/>
    <w:rsid w:val="0064615B"/>
    <w:rsid w:val="006466B5"/>
    <w:rsid w:val="00646C84"/>
    <w:rsid w:val="00647231"/>
    <w:rsid w:val="006477A7"/>
    <w:rsid w:val="0064780E"/>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68F"/>
    <w:rsid w:val="00665CCE"/>
    <w:rsid w:val="00665F29"/>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32D"/>
    <w:rsid w:val="006725CC"/>
    <w:rsid w:val="0067273D"/>
    <w:rsid w:val="00672966"/>
    <w:rsid w:val="00672A48"/>
    <w:rsid w:val="00672E1F"/>
    <w:rsid w:val="00672F51"/>
    <w:rsid w:val="006735BC"/>
    <w:rsid w:val="00673634"/>
    <w:rsid w:val="00673BDE"/>
    <w:rsid w:val="00673EB7"/>
    <w:rsid w:val="00673FBF"/>
    <w:rsid w:val="00673FE7"/>
    <w:rsid w:val="006740F1"/>
    <w:rsid w:val="0067439E"/>
    <w:rsid w:val="00674460"/>
    <w:rsid w:val="0067506C"/>
    <w:rsid w:val="006754D4"/>
    <w:rsid w:val="00675652"/>
    <w:rsid w:val="006758E5"/>
    <w:rsid w:val="00675ECB"/>
    <w:rsid w:val="00676102"/>
    <w:rsid w:val="0067649C"/>
    <w:rsid w:val="006767B8"/>
    <w:rsid w:val="006771AD"/>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ED8"/>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5C"/>
    <w:rsid w:val="006A04D8"/>
    <w:rsid w:val="006A05EF"/>
    <w:rsid w:val="006A0942"/>
    <w:rsid w:val="006A11CD"/>
    <w:rsid w:val="006A14A5"/>
    <w:rsid w:val="006A18DD"/>
    <w:rsid w:val="006A20BD"/>
    <w:rsid w:val="006A2312"/>
    <w:rsid w:val="006A2347"/>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2C4"/>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417"/>
    <w:rsid w:val="006B7864"/>
    <w:rsid w:val="006C03B2"/>
    <w:rsid w:val="006C0652"/>
    <w:rsid w:val="006C09DD"/>
    <w:rsid w:val="006C0A9D"/>
    <w:rsid w:val="006C0B08"/>
    <w:rsid w:val="006C0D37"/>
    <w:rsid w:val="006C1142"/>
    <w:rsid w:val="006C1A29"/>
    <w:rsid w:val="006C1B3F"/>
    <w:rsid w:val="006C1F77"/>
    <w:rsid w:val="006C22BD"/>
    <w:rsid w:val="006C2604"/>
    <w:rsid w:val="006C3309"/>
    <w:rsid w:val="006C372D"/>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FE"/>
    <w:rsid w:val="006C75C9"/>
    <w:rsid w:val="006C7CAC"/>
    <w:rsid w:val="006C7FB9"/>
    <w:rsid w:val="006D0556"/>
    <w:rsid w:val="006D0846"/>
    <w:rsid w:val="006D0C09"/>
    <w:rsid w:val="006D0E7E"/>
    <w:rsid w:val="006D1A23"/>
    <w:rsid w:val="006D1DFA"/>
    <w:rsid w:val="006D1F1A"/>
    <w:rsid w:val="006D2039"/>
    <w:rsid w:val="006D2082"/>
    <w:rsid w:val="006D21FF"/>
    <w:rsid w:val="006D31AF"/>
    <w:rsid w:val="006D31DD"/>
    <w:rsid w:val="006D34A3"/>
    <w:rsid w:val="006D35CD"/>
    <w:rsid w:val="006D3CC3"/>
    <w:rsid w:val="006D3D01"/>
    <w:rsid w:val="006D4133"/>
    <w:rsid w:val="006D4324"/>
    <w:rsid w:val="006D4373"/>
    <w:rsid w:val="006D43A3"/>
    <w:rsid w:val="006D492A"/>
    <w:rsid w:val="006D493C"/>
    <w:rsid w:val="006D4D15"/>
    <w:rsid w:val="006D529F"/>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0D34"/>
    <w:rsid w:val="006E102F"/>
    <w:rsid w:val="006E1135"/>
    <w:rsid w:val="006E1469"/>
    <w:rsid w:val="006E176F"/>
    <w:rsid w:val="006E1C34"/>
    <w:rsid w:val="006E1E45"/>
    <w:rsid w:val="006E22CC"/>
    <w:rsid w:val="006E3D3A"/>
    <w:rsid w:val="006E4441"/>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51BE"/>
    <w:rsid w:val="006F5231"/>
    <w:rsid w:val="006F557B"/>
    <w:rsid w:val="006F5674"/>
    <w:rsid w:val="006F5B41"/>
    <w:rsid w:val="006F5E73"/>
    <w:rsid w:val="006F6689"/>
    <w:rsid w:val="006F6740"/>
    <w:rsid w:val="006F6FEA"/>
    <w:rsid w:val="006F70E1"/>
    <w:rsid w:val="006F7427"/>
    <w:rsid w:val="006F746D"/>
    <w:rsid w:val="006F7A6B"/>
    <w:rsid w:val="006F7A92"/>
    <w:rsid w:val="006F7E42"/>
    <w:rsid w:val="00700042"/>
    <w:rsid w:val="0070013F"/>
    <w:rsid w:val="0070023A"/>
    <w:rsid w:val="0070063F"/>
    <w:rsid w:val="0070124B"/>
    <w:rsid w:val="007017EA"/>
    <w:rsid w:val="0070181F"/>
    <w:rsid w:val="0070193E"/>
    <w:rsid w:val="00701B27"/>
    <w:rsid w:val="00701F97"/>
    <w:rsid w:val="00701FBE"/>
    <w:rsid w:val="007032E6"/>
    <w:rsid w:val="007036E5"/>
    <w:rsid w:val="00703A5B"/>
    <w:rsid w:val="00703D8A"/>
    <w:rsid w:val="00704123"/>
    <w:rsid w:val="00704641"/>
    <w:rsid w:val="007047A7"/>
    <w:rsid w:val="007050A6"/>
    <w:rsid w:val="007056ED"/>
    <w:rsid w:val="00705D28"/>
    <w:rsid w:val="00706AC2"/>
    <w:rsid w:val="007072C8"/>
    <w:rsid w:val="0070743B"/>
    <w:rsid w:val="00707B0E"/>
    <w:rsid w:val="00707B89"/>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324"/>
    <w:rsid w:val="007163BF"/>
    <w:rsid w:val="0071649C"/>
    <w:rsid w:val="00716B63"/>
    <w:rsid w:val="00716FC0"/>
    <w:rsid w:val="00717267"/>
    <w:rsid w:val="00717300"/>
    <w:rsid w:val="00717890"/>
    <w:rsid w:val="007178EE"/>
    <w:rsid w:val="00720759"/>
    <w:rsid w:val="00720A0C"/>
    <w:rsid w:val="007215A9"/>
    <w:rsid w:val="007215CA"/>
    <w:rsid w:val="0072190B"/>
    <w:rsid w:val="00721CB7"/>
    <w:rsid w:val="00721D98"/>
    <w:rsid w:val="00721DB3"/>
    <w:rsid w:val="00721E1D"/>
    <w:rsid w:val="00722260"/>
    <w:rsid w:val="00722299"/>
    <w:rsid w:val="00722602"/>
    <w:rsid w:val="00722768"/>
    <w:rsid w:val="0072280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982"/>
    <w:rsid w:val="00725CB6"/>
    <w:rsid w:val="00725CD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21F"/>
    <w:rsid w:val="0073637C"/>
    <w:rsid w:val="00736732"/>
    <w:rsid w:val="00736803"/>
    <w:rsid w:val="00736886"/>
    <w:rsid w:val="00736D7B"/>
    <w:rsid w:val="007377ED"/>
    <w:rsid w:val="007379C8"/>
    <w:rsid w:val="007406A2"/>
    <w:rsid w:val="007406C0"/>
    <w:rsid w:val="00740AC1"/>
    <w:rsid w:val="00740B5C"/>
    <w:rsid w:val="00740BF9"/>
    <w:rsid w:val="00740DD7"/>
    <w:rsid w:val="0074108B"/>
    <w:rsid w:val="00741434"/>
    <w:rsid w:val="00741464"/>
    <w:rsid w:val="0074146A"/>
    <w:rsid w:val="007415B6"/>
    <w:rsid w:val="00741A56"/>
    <w:rsid w:val="007420C9"/>
    <w:rsid w:val="00742695"/>
    <w:rsid w:val="00742A51"/>
    <w:rsid w:val="007431AA"/>
    <w:rsid w:val="00743468"/>
    <w:rsid w:val="007435B1"/>
    <w:rsid w:val="007436B1"/>
    <w:rsid w:val="007436D5"/>
    <w:rsid w:val="00743867"/>
    <w:rsid w:val="00743D54"/>
    <w:rsid w:val="00744055"/>
    <w:rsid w:val="0074410F"/>
    <w:rsid w:val="0074443A"/>
    <w:rsid w:val="0074462D"/>
    <w:rsid w:val="0074475B"/>
    <w:rsid w:val="00744E4F"/>
    <w:rsid w:val="0074544C"/>
    <w:rsid w:val="0074576E"/>
    <w:rsid w:val="0074587B"/>
    <w:rsid w:val="007458E7"/>
    <w:rsid w:val="00745EBB"/>
    <w:rsid w:val="00746167"/>
    <w:rsid w:val="00746199"/>
    <w:rsid w:val="00746D90"/>
    <w:rsid w:val="00747446"/>
    <w:rsid w:val="007475BE"/>
    <w:rsid w:val="00747BD8"/>
    <w:rsid w:val="00747F05"/>
    <w:rsid w:val="0075038A"/>
    <w:rsid w:val="007503B7"/>
    <w:rsid w:val="0075076E"/>
    <w:rsid w:val="007509F9"/>
    <w:rsid w:val="00751B32"/>
    <w:rsid w:val="00751F76"/>
    <w:rsid w:val="00752497"/>
    <w:rsid w:val="007524E2"/>
    <w:rsid w:val="00752FE7"/>
    <w:rsid w:val="00753F01"/>
    <w:rsid w:val="0075412E"/>
    <w:rsid w:val="007545E6"/>
    <w:rsid w:val="00754747"/>
    <w:rsid w:val="00754D64"/>
    <w:rsid w:val="00754FCC"/>
    <w:rsid w:val="00755420"/>
    <w:rsid w:val="00755559"/>
    <w:rsid w:val="00755B06"/>
    <w:rsid w:val="00755D41"/>
    <w:rsid w:val="00755E06"/>
    <w:rsid w:val="00755F8B"/>
    <w:rsid w:val="00756447"/>
    <w:rsid w:val="007565E2"/>
    <w:rsid w:val="00756E79"/>
    <w:rsid w:val="00756F15"/>
    <w:rsid w:val="00756F1E"/>
    <w:rsid w:val="007572E9"/>
    <w:rsid w:val="00757A61"/>
    <w:rsid w:val="00757C04"/>
    <w:rsid w:val="00757CD9"/>
    <w:rsid w:val="00757E8E"/>
    <w:rsid w:val="00757FE8"/>
    <w:rsid w:val="007600CF"/>
    <w:rsid w:val="0076015A"/>
    <w:rsid w:val="0076031F"/>
    <w:rsid w:val="00760737"/>
    <w:rsid w:val="00760756"/>
    <w:rsid w:val="007609D4"/>
    <w:rsid w:val="00760D79"/>
    <w:rsid w:val="0076116A"/>
    <w:rsid w:val="00761332"/>
    <w:rsid w:val="007613AF"/>
    <w:rsid w:val="0076145C"/>
    <w:rsid w:val="007619FB"/>
    <w:rsid w:val="00761A37"/>
    <w:rsid w:val="00761BC2"/>
    <w:rsid w:val="0076200C"/>
    <w:rsid w:val="00762924"/>
    <w:rsid w:val="0076295C"/>
    <w:rsid w:val="00762FA7"/>
    <w:rsid w:val="00763055"/>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4964"/>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CCE"/>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11D"/>
    <w:rsid w:val="007842FE"/>
    <w:rsid w:val="0078440C"/>
    <w:rsid w:val="00784702"/>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20C"/>
    <w:rsid w:val="00794770"/>
    <w:rsid w:val="007947FB"/>
    <w:rsid w:val="00794DFE"/>
    <w:rsid w:val="007954AC"/>
    <w:rsid w:val="00795804"/>
    <w:rsid w:val="00795809"/>
    <w:rsid w:val="00795BA6"/>
    <w:rsid w:val="00795BD3"/>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218"/>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905"/>
    <w:rsid w:val="0080397E"/>
    <w:rsid w:val="00803B79"/>
    <w:rsid w:val="00803E2E"/>
    <w:rsid w:val="00803FD6"/>
    <w:rsid w:val="008041E1"/>
    <w:rsid w:val="008046AA"/>
    <w:rsid w:val="008047C4"/>
    <w:rsid w:val="00804867"/>
    <w:rsid w:val="00804B2F"/>
    <w:rsid w:val="00804B56"/>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9D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3DD"/>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87C"/>
    <w:rsid w:val="00817B8F"/>
    <w:rsid w:val="00817C96"/>
    <w:rsid w:val="00817CB0"/>
    <w:rsid w:val="00817D2A"/>
    <w:rsid w:val="00817F27"/>
    <w:rsid w:val="008200AD"/>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D5E"/>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3E62"/>
    <w:rsid w:val="008444E3"/>
    <w:rsid w:val="008444F8"/>
    <w:rsid w:val="008445D2"/>
    <w:rsid w:val="00844750"/>
    <w:rsid w:val="00844864"/>
    <w:rsid w:val="00845A92"/>
    <w:rsid w:val="00845F51"/>
    <w:rsid w:val="008460B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6EF"/>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3D5A"/>
    <w:rsid w:val="008742CE"/>
    <w:rsid w:val="00874E33"/>
    <w:rsid w:val="00874FAC"/>
    <w:rsid w:val="0087504C"/>
    <w:rsid w:val="00875309"/>
    <w:rsid w:val="00875755"/>
    <w:rsid w:val="00875905"/>
    <w:rsid w:val="00875F79"/>
    <w:rsid w:val="00875FBD"/>
    <w:rsid w:val="00875FC8"/>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6C"/>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3C39"/>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BCE"/>
    <w:rsid w:val="008F0FC8"/>
    <w:rsid w:val="008F1CF8"/>
    <w:rsid w:val="008F211C"/>
    <w:rsid w:val="008F2201"/>
    <w:rsid w:val="008F25DF"/>
    <w:rsid w:val="008F2A8C"/>
    <w:rsid w:val="008F2AE7"/>
    <w:rsid w:val="008F3069"/>
    <w:rsid w:val="008F35F6"/>
    <w:rsid w:val="008F375A"/>
    <w:rsid w:val="008F38CA"/>
    <w:rsid w:val="008F3D2D"/>
    <w:rsid w:val="008F3D7C"/>
    <w:rsid w:val="008F3DC9"/>
    <w:rsid w:val="008F4107"/>
    <w:rsid w:val="008F4B0F"/>
    <w:rsid w:val="008F4BFE"/>
    <w:rsid w:val="008F4E3F"/>
    <w:rsid w:val="008F5406"/>
    <w:rsid w:val="008F5461"/>
    <w:rsid w:val="008F5866"/>
    <w:rsid w:val="008F595E"/>
    <w:rsid w:val="008F5CA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5D1"/>
    <w:rsid w:val="00911A5A"/>
    <w:rsid w:val="00911E1A"/>
    <w:rsid w:val="0091225D"/>
    <w:rsid w:val="009123B9"/>
    <w:rsid w:val="00912508"/>
    <w:rsid w:val="009127B3"/>
    <w:rsid w:val="00912A63"/>
    <w:rsid w:val="00912A96"/>
    <w:rsid w:val="00912F6D"/>
    <w:rsid w:val="009130B3"/>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9F"/>
    <w:rsid w:val="0094484A"/>
    <w:rsid w:val="00944AF4"/>
    <w:rsid w:val="00945E49"/>
    <w:rsid w:val="009462D8"/>
    <w:rsid w:val="00946388"/>
    <w:rsid w:val="0094663A"/>
    <w:rsid w:val="00946AA5"/>
    <w:rsid w:val="00946C4B"/>
    <w:rsid w:val="00946C95"/>
    <w:rsid w:val="009478ED"/>
    <w:rsid w:val="009479E5"/>
    <w:rsid w:val="00950781"/>
    <w:rsid w:val="009509D7"/>
    <w:rsid w:val="00950A9C"/>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3F73"/>
    <w:rsid w:val="00964E3C"/>
    <w:rsid w:val="00964E69"/>
    <w:rsid w:val="0096504D"/>
    <w:rsid w:val="009654F0"/>
    <w:rsid w:val="009659EA"/>
    <w:rsid w:val="00965A4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7E2"/>
    <w:rsid w:val="0097584E"/>
    <w:rsid w:val="009765CF"/>
    <w:rsid w:val="00976989"/>
    <w:rsid w:val="00976D1B"/>
    <w:rsid w:val="00976FFB"/>
    <w:rsid w:val="00977852"/>
    <w:rsid w:val="009778AB"/>
    <w:rsid w:val="00980403"/>
    <w:rsid w:val="009804CB"/>
    <w:rsid w:val="009809DD"/>
    <w:rsid w:val="00980ACA"/>
    <w:rsid w:val="00980D29"/>
    <w:rsid w:val="00980F14"/>
    <w:rsid w:val="009817EC"/>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0E8"/>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647E"/>
    <w:rsid w:val="00996A8B"/>
    <w:rsid w:val="00996CD4"/>
    <w:rsid w:val="00997033"/>
    <w:rsid w:val="0099731A"/>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37"/>
    <w:rsid w:val="009A516A"/>
    <w:rsid w:val="009A5434"/>
    <w:rsid w:val="009A56A7"/>
    <w:rsid w:val="009A5EF9"/>
    <w:rsid w:val="009A6127"/>
    <w:rsid w:val="009A62DC"/>
    <w:rsid w:val="009A637B"/>
    <w:rsid w:val="009A6456"/>
    <w:rsid w:val="009A6C74"/>
    <w:rsid w:val="009A6EE7"/>
    <w:rsid w:val="009A7154"/>
    <w:rsid w:val="009A78D1"/>
    <w:rsid w:val="009A7DFB"/>
    <w:rsid w:val="009A7E08"/>
    <w:rsid w:val="009B003C"/>
    <w:rsid w:val="009B11D5"/>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FFA"/>
    <w:rsid w:val="009C00EF"/>
    <w:rsid w:val="009C0BC1"/>
    <w:rsid w:val="009C0DBE"/>
    <w:rsid w:val="009C1035"/>
    <w:rsid w:val="009C19BC"/>
    <w:rsid w:val="009C19D2"/>
    <w:rsid w:val="009C1BF9"/>
    <w:rsid w:val="009C1D4B"/>
    <w:rsid w:val="009C1E0C"/>
    <w:rsid w:val="009C206F"/>
    <w:rsid w:val="009C281C"/>
    <w:rsid w:val="009C2AB0"/>
    <w:rsid w:val="009C2B1C"/>
    <w:rsid w:val="009C37D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6D0"/>
    <w:rsid w:val="009D6BF6"/>
    <w:rsid w:val="009D6D66"/>
    <w:rsid w:val="009D6F4D"/>
    <w:rsid w:val="009D75A4"/>
    <w:rsid w:val="009D785E"/>
    <w:rsid w:val="009E04A9"/>
    <w:rsid w:val="009E04FB"/>
    <w:rsid w:val="009E0871"/>
    <w:rsid w:val="009E1012"/>
    <w:rsid w:val="009E1137"/>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42B"/>
    <w:rsid w:val="009F26C0"/>
    <w:rsid w:val="009F2A94"/>
    <w:rsid w:val="009F2AAF"/>
    <w:rsid w:val="009F2C6B"/>
    <w:rsid w:val="009F2E7E"/>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18EE"/>
    <w:rsid w:val="00A02B26"/>
    <w:rsid w:val="00A02BEC"/>
    <w:rsid w:val="00A02C96"/>
    <w:rsid w:val="00A02D52"/>
    <w:rsid w:val="00A02FBC"/>
    <w:rsid w:val="00A03253"/>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14B5"/>
    <w:rsid w:val="00A115BF"/>
    <w:rsid w:val="00A1196F"/>
    <w:rsid w:val="00A1197E"/>
    <w:rsid w:val="00A11A89"/>
    <w:rsid w:val="00A11ACA"/>
    <w:rsid w:val="00A11DF9"/>
    <w:rsid w:val="00A11E0F"/>
    <w:rsid w:val="00A12206"/>
    <w:rsid w:val="00A12301"/>
    <w:rsid w:val="00A12517"/>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61F"/>
    <w:rsid w:val="00A2470A"/>
    <w:rsid w:val="00A2481C"/>
    <w:rsid w:val="00A24CCF"/>
    <w:rsid w:val="00A25296"/>
    <w:rsid w:val="00A253C6"/>
    <w:rsid w:val="00A2585A"/>
    <w:rsid w:val="00A25B10"/>
    <w:rsid w:val="00A25BD5"/>
    <w:rsid w:val="00A25C9D"/>
    <w:rsid w:val="00A261E4"/>
    <w:rsid w:val="00A265D9"/>
    <w:rsid w:val="00A2688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411"/>
    <w:rsid w:val="00A325C2"/>
    <w:rsid w:val="00A325CC"/>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821"/>
    <w:rsid w:val="00A41C5C"/>
    <w:rsid w:val="00A41D7F"/>
    <w:rsid w:val="00A41EF0"/>
    <w:rsid w:val="00A422A2"/>
    <w:rsid w:val="00A42659"/>
    <w:rsid w:val="00A42B87"/>
    <w:rsid w:val="00A43235"/>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202"/>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6A3"/>
    <w:rsid w:val="00A726DE"/>
    <w:rsid w:val="00A729F5"/>
    <w:rsid w:val="00A7317F"/>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74E"/>
    <w:rsid w:val="00A81D9B"/>
    <w:rsid w:val="00A8221B"/>
    <w:rsid w:val="00A82508"/>
    <w:rsid w:val="00A82C1E"/>
    <w:rsid w:val="00A831D8"/>
    <w:rsid w:val="00A831F0"/>
    <w:rsid w:val="00A83309"/>
    <w:rsid w:val="00A835C0"/>
    <w:rsid w:val="00A83BF1"/>
    <w:rsid w:val="00A83CA0"/>
    <w:rsid w:val="00A84298"/>
    <w:rsid w:val="00A844CE"/>
    <w:rsid w:val="00A84A21"/>
    <w:rsid w:val="00A84A75"/>
    <w:rsid w:val="00A84EBF"/>
    <w:rsid w:val="00A85237"/>
    <w:rsid w:val="00A8523D"/>
    <w:rsid w:val="00A85661"/>
    <w:rsid w:val="00A85F2C"/>
    <w:rsid w:val="00A85FFF"/>
    <w:rsid w:val="00A867E7"/>
    <w:rsid w:val="00A86F67"/>
    <w:rsid w:val="00A86FEF"/>
    <w:rsid w:val="00A8706A"/>
    <w:rsid w:val="00A87482"/>
    <w:rsid w:val="00A87771"/>
    <w:rsid w:val="00A87F4E"/>
    <w:rsid w:val="00A90134"/>
    <w:rsid w:val="00A901CB"/>
    <w:rsid w:val="00A905F1"/>
    <w:rsid w:val="00A90E27"/>
    <w:rsid w:val="00A91218"/>
    <w:rsid w:val="00A91469"/>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56C"/>
    <w:rsid w:val="00A94A70"/>
    <w:rsid w:val="00A94BB8"/>
    <w:rsid w:val="00A9505F"/>
    <w:rsid w:val="00A9508C"/>
    <w:rsid w:val="00A9526D"/>
    <w:rsid w:val="00A95510"/>
    <w:rsid w:val="00A958A6"/>
    <w:rsid w:val="00A95A3E"/>
    <w:rsid w:val="00A95BD9"/>
    <w:rsid w:val="00A96058"/>
    <w:rsid w:val="00A964EC"/>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7F"/>
    <w:rsid w:val="00AB3491"/>
    <w:rsid w:val="00AB367D"/>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C0169"/>
    <w:rsid w:val="00AC0365"/>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7470"/>
    <w:rsid w:val="00AC7DE9"/>
    <w:rsid w:val="00AD12BD"/>
    <w:rsid w:val="00AD13AD"/>
    <w:rsid w:val="00AD163D"/>
    <w:rsid w:val="00AD1860"/>
    <w:rsid w:val="00AD1B21"/>
    <w:rsid w:val="00AD1DFE"/>
    <w:rsid w:val="00AD1E30"/>
    <w:rsid w:val="00AD1F06"/>
    <w:rsid w:val="00AD23E9"/>
    <w:rsid w:val="00AD25AF"/>
    <w:rsid w:val="00AD284F"/>
    <w:rsid w:val="00AD288C"/>
    <w:rsid w:val="00AD2ACB"/>
    <w:rsid w:val="00AD2D96"/>
    <w:rsid w:val="00AD3042"/>
    <w:rsid w:val="00AD3047"/>
    <w:rsid w:val="00AD3110"/>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1A3"/>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E98"/>
    <w:rsid w:val="00AF0FFE"/>
    <w:rsid w:val="00AF1414"/>
    <w:rsid w:val="00AF14DF"/>
    <w:rsid w:val="00AF15C3"/>
    <w:rsid w:val="00AF19CD"/>
    <w:rsid w:val="00AF25F3"/>
    <w:rsid w:val="00AF267F"/>
    <w:rsid w:val="00AF28B0"/>
    <w:rsid w:val="00AF2DED"/>
    <w:rsid w:val="00AF3560"/>
    <w:rsid w:val="00AF36F2"/>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B7F"/>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57B"/>
    <w:rsid w:val="00B27D54"/>
    <w:rsid w:val="00B3057A"/>
    <w:rsid w:val="00B308C7"/>
    <w:rsid w:val="00B317EB"/>
    <w:rsid w:val="00B318CB"/>
    <w:rsid w:val="00B31C72"/>
    <w:rsid w:val="00B31E5F"/>
    <w:rsid w:val="00B322A7"/>
    <w:rsid w:val="00B32507"/>
    <w:rsid w:val="00B32607"/>
    <w:rsid w:val="00B326BE"/>
    <w:rsid w:val="00B328C5"/>
    <w:rsid w:val="00B32961"/>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6F6"/>
    <w:rsid w:val="00B437BD"/>
    <w:rsid w:val="00B43985"/>
    <w:rsid w:val="00B439FA"/>
    <w:rsid w:val="00B43D4D"/>
    <w:rsid w:val="00B440CF"/>
    <w:rsid w:val="00B4418B"/>
    <w:rsid w:val="00B44370"/>
    <w:rsid w:val="00B443C5"/>
    <w:rsid w:val="00B4485B"/>
    <w:rsid w:val="00B4493B"/>
    <w:rsid w:val="00B453AD"/>
    <w:rsid w:val="00B45A61"/>
    <w:rsid w:val="00B45AC0"/>
    <w:rsid w:val="00B46501"/>
    <w:rsid w:val="00B47389"/>
    <w:rsid w:val="00B4750A"/>
    <w:rsid w:val="00B47784"/>
    <w:rsid w:val="00B4783F"/>
    <w:rsid w:val="00B47858"/>
    <w:rsid w:val="00B4797A"/>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4E12"/>
    <w:rsid w:val="00B553CF"/>
    <w:rsid w:val="00B555B8"/>
    <w:rsid w:val="00B55ACA"/>
    <w:rsid w:val="00B55C4D"/>
    <w:rsid w:val="00B561BD"/>
    <w:rsid w:val="00B562D8"/>
    <w:rsid w:val="00B566E0"/>
    <w:rsid w:val="00B5685D"/>
    <w:rsid w:val="00B56E91"/>
    <w:rsid w:val="00B56F22"/>
    <w:rsid w:val="00B574BA"/>
    <w:rsid w:val="00B57861"/>
    <w:rsid w:val="00B60407"/>
    <w:rsid w:val="00B6059C"/>
    <w:rsid w:val="00B609AE"/>
    <w:rsid w:val="00B609F0"/>
    <w:rsid w:val="00B60E6E"/>
    <w:rsid w:val="00B6112D"/>
    <w:rsid w:val="00B614E9"/>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21"/>
    <w:rsid w:val="00B64F38"/>
    <w:rsid w:val="00B652B0"/>
    <w:rsid w:val="00B65771"/>
    <w:rsid w:val="00B664EC"/>
    <w:rsid w:val="00B66801"/>
    <w:rsid w:val="00B668B4"/>
    <w:rsid w:val="00B66FFC"/>
    <w:rsid w:val="00B67375"/>
    <w:rsid w:val="00B6796C"/>
    <w:rsid w:val="00B67B2B"/>
    <w:rsid w:val="00B7001D"/>
    <w:rsid w:val="00B7021B"/>
    <w:rsid w:val="00B70333"/>
    <w:rsid w:val="00B70885"/>
    <w:rsid w:val="00B70A49"/>
    <w:rsid w:val="00B70EDB"/>
    <w:rsid w:val="00B71448"/>
    <w:rsid w:val="00B7160D"/>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1A1B"/>
    <w:rsid w:val="00B820AE"/>
    <w:rsid w:val="00B821AB"/>
    <w:rsid w:val="00B82515"/>
    <w:rsid w:val="00B82A0E"/>
    <w:rsid w:val="00B82A8C"/>
    <w:rsid w:val="00B82DAA"/>
    <w:rsid w:val="00B830F7"/>
    <w:rsid w:val="00B8321E"/>
    <w:rsid w:val="00B83631"/>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99E"/>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C4F"/>
    <w:rsid w:val="00BB20E7"/>
    <w:rsid w:val="00BB225D"/>
    <w:rsid w:val="00BB277B"/>
    <w:rsid w:val="00BB2835"/>
    <w:rsid w:val="00BB3373"/>
    <w:rsid w:val="00BB365A"/>
    <w:rsid w:val="00BB37B0"/>
    <w:rsid w:val="00BB3A61"/>
    <w:rsid w:val="00BB3D91"/>
    <w:rsid w:val="00BB3F4C"/>
    <w:rsid w:val="00BB4A42"/>
    <w:rsid w:val="00BB4D68"/>
    <w:rsid w:val="00BB5075"/>
    <w:rsid w:val="00BB5321"/>
    <w:rsid w:val="00BB55C2"/>
    <w:rsid w:val="00BB56F2"/>
    <w:rsid w:val="00BB57E0"/>
    <w:rsid w:val="00BB5846"/>
    <w:rsid w:val="00BB61DC"/>
    <w:rsid w:val="00BB6258"/>
    <w:rsid w:val="00BB635E"/>
    <w:rsid w:val="00BB6431"/>
    <w:rsid w:val="00BB645D"/>
    <w:rsid w:val="00BB6472"/>
    <w:rsid w:val="00BB71EC"/>
    <w:rsid w:val="00BB724B"/>
    <w:rsid w:val="00BB740F"/>
    <w:rsid w:val="00BB7DB1"/>
    <w:rsid w:val="00BC0AE6"/>
    <w:rsid w:val="00BC1293"/>
    <w:rsid w:val="00BC16BF"/>
    <w:rsid w:val="00BC1B4B"/>
    <w:rsid w:val="00BC201A"/>
    <w:rsid w:val="00BC2273"/>
    <w:rsid w:val="00BC2BC7"/>
    <w:rsid w:val="00BC2F45"/>
    <w:rsid w:val="00BC344E"/>
    <w:rsid w:val="00BC38B8"/>
    <w:rsid w:val="00BC3CF8"/>
    <w:rsid w:val="00BC4B9C"/>
    <w:rsid w:val="00BC4D50"/>
    <w:rsid w:val="00BC5181"/>
    <w:rsid w:val="00BC542C"/>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8B8"/>
    <w:rsid w:val="00BD7A82"/>
    <w:rsid w:val="00BD7F9E"/>
    <w:rsid w:val="00BE072F"/>
    <w:rsid w:val="00BE0C3B"/>
    <w:rsid w:val="00BE0DCA"/>
    <w:rsid w:val="00BE13B8"/>
    <w:rsid w:val="00BE13C6"/>
    <w:rsid w:val="00BE16CB"/>
    <w:rsid w:val="00BE197A"/>
    <w:rsid w:val="00BE1A06"/>
    <w:rsid w:val="00BE1F8E"/>
    <w:rsid w:val="00BE2245"/>
    <w:rsid w:val="00BE2DD4"/>
    <w:rsid w:val="00BE2E99"/>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D2"/>
    <w:rsid w:val="00BF10D6"/>
    <w:rsid w:val="00BF120B"/>
    <w:rsid w:val="00BF1309"/>
    <w:rsid w:val="00BF18B9"/>
    <w:rsid w:val="00BF1B70"/>
    <w:rsid w:val="00BF2098"/>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A8"/>
    <w:rsid w:val="00BF57C6"/>
    <w:rsid w:val="00BF60E3"/>
    <w:rsid w:val="00BF6597"/>
    <w:rsid w:val="00BF6FBF"/>
    <w:rsid w:val="00BF70A1"/>
    <w:rsid w:val="00BF70F8"/>
    <w:rsid w:val="00BF7CDD"/>
    <w:rsid w:val="00BF7D43"/>
    <w:rsid w:val="00C007CA"/>
    <w:rsid w:val="00C00BC2"/>
    <w:rsid w:val="00C00F1A"/>
    <w:rsid w:val="00C010F5"/>
    <w:rsid w:val="00C012D3"/>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7E0"/>
    <w:rsid w:val="00C05863"/>
    <w:rsid w:val="00C05C20"/>
    <w:rsid w:val="00C05D67"/>
    <w:rsid w:val="00C05F3E"/>
    <w:rsid w:val="00C06031"/>
    <w:rsid w:val="00C06066"/>
    <w:rsid w:val="00C0648A"/>
    <w:rsid w:val="00C067A4"/>
    <w:rsid w:val="00C06E36"/>
    <w:rsid w:val="00C06F8C"/>
    <w:rsid w:val="00C072FD"/>
    <w:rsid w:val="00C0734B"/>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A70"/>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32DD"/>
    <w:rsid w:val="00C23452"/>
    <w:rsid w:val="00C2423A"/>
    <w:rsid w:val="00C244D8"/>
    <w:rsid w:val="00C24789"/>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BB7"/>
    <w:rsid w:val="00C32CCE"/>
    <w:rsid w:val="00C33560"/>
    <w:rsid w:val="00C337EC"/>
    <w:rsid w:val="00C339DE"/>
    <w:rsid w:val="00C33AA7"/>
    <w:rsid w:val="00C33DCE"/>
    <w:rsid w:val="00C3463A"/>
    <w:rsid w:val="00C346BB"/>
    <w:rsid w:val="00C346C1"/>
    <w:rsid w:val="00C34BDB"/>
    <w:rsid w:val="00C34C05"/>
    <w:rsid w:val="00C34D4B"/>
    <w:rsid w:val="00C34E2F"/>
    <w:rsid w:val="00C34F16"/>
    <w:rsid w:val="00C351D2"/>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0E32"/>
    <w:rsid w:val="00C41057"/>
    <w:rsid w:val="00C411E2"/>
    <w:rsid w:val="00C41E8D"/>
    <w:rsid w:val="00C42130"/>
    <w:rsid w:val="00C42784"/>
    <w:rsid w:val="00C429E1"/>
    <w:rsid w:val="00C4301B"/>
    <w:rsid w:val="00C439F0"/>
    <w:rsid w:val="00C43CE7"/>
    <w:rsid w:val="00C44189"/>
    <w:rsid w:val="00C447FB"/>
    <w:rsid w:val="00C44F96"/>
    <w:rsid w:val="00C44FF2"/>
    <w:rsid w:val="00C4587D"/>
    <w:rsid w:val="00C45A44"/>
    <w:rsid w:val="00C45BD4"/>
    <w:rsid w:val="00C45C66"/>
    <w:rsid w:val="00C464A1"/>
    <w:rsid w:val="00C470AA"/>
    <w:rsid w:val="00C470CB"/>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203"/>
    <w:rsid w:val="00C5733A"/>
    <w:rsid w:val="00C57CC6"/>
    <w:rsid w:val="00C57D43"/>
    <w:rsid w:val="00C601EB"/>
    <w:rsid w:val="00C602DB"/>
    <w:rsid w:val="00C60708"/>
    <w:rsid w:val="00C60EC1"/>
    <w:rsid w:val="00C613E1"/>
    <w:rsid w:val="00C619CD"/>
    <w:rsid w:val="00C61B5A"/>
    <w:rsid w:val="00C61D30"/>
    <w:rsid w:val="00C61EE5"/>
    <w:rsid w:val="00C62027"/>
    <w:rsid w:val="00C62915"/>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EE8"/>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7AB"/>
    <w:rsid w:val="00C92C2A"/>
    <w:rsid w:val="00C9318C"/>
    <w:rsid w:val="00C93297"/>
    <w:rsid w:val="00C93543"/>
    <w:rsid w:val="00C94051"/>
    <w:rsid w:val="00C945EC"/>
    <w:rsid w:val="00C948ED"/>
    <w:rsid w:val="00C94B58"/>
    <w:rsid w:val="00C94BBA"/>
    <w:rsid w:val="00C94E45"/>
    <w:rsid w:val="00C95300"/>
    <w:rsid w:val="00C95548"/>
    <w:rsid w:val="00C955BC"/>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7BE"/>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1F8"/>
    <w:rsid w:val="00CA5DA3"/>
    <w:rsid w:val="00CA6164"/>
    <w:rsid w:val="00CA66FF"/>
    <w:rsid w:val="00CA6734"/>
    <w:rsid w:val="00CA6BDF"/>
    <w:rsid w:val="00CA768E"/>
    <w:rsid w:val="00CB0072"/>
    <w:rsid w:val="00CB01BC"/>
    <w:rsid w:val="00CB03CF"/>
    <w:rsid w:val="00CB047F"/>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7E6"/>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62A0"/>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DE2"/>
    <w:rsid w:val="00CD5F80"/>
    <w:rsid w:val="00CD61E3"/>
    <w:rsid w:val="00CD67B4"/>
    <w:rsid w:val="00CD6823"/>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253D"/>
    <w:rsid w:val="00CE2DF0"/>
    <w:rsid w:val="00CE3257"/>
    <w:rsid w:val="00CE38AA"/>
    <w:rsid w:val="00CE3CDC"/>
    <w:rsid w:val="00CE3D16"/>
    <w:rsid w:val="00CE3D41"/>
    <w:rsid w:val="00CE3FBA"/>
    <w:rsid w:val="00CE44B7"/>
    <w:rsid w:val="00CE5386"/>
    <w:rsid w:val="00CE53A7"/>
    <w:rsid w:val="00CE545A"/>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974"/>
    <w:rsid w:val="00CF1AA6"/>
    <w:rsid w:val="00CF1C27"/>
    <w:rsid w:val="00CF20C8"/>
    <w:rsid w:val="00CF2639"/>
    <w:rsid w:val="00CF2EF5"/>
    <w:rsid w:val="00CF2FBF"/>
    <w:rsid w:val="00CF31DC"/>
    <w:rsid w:val="00CF3236"/>
    <w:rsid w:val="00CF33BA"/>
    <w:rsid w:val="00CF362D"/>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6AE"/>
    <w:rsid w:val="00CF7CCF"/>
    <w:rsid w:val="00CF7D8D"/>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12"/>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E8"/>
    <w:rsid w:val="00D426FB"/>
    <w:rsid w:val="00D42B71"/>
    <w:rsid w:val="00D42D5D"/>
    <w:rsid w:val="00D42DE6"/>
    <w:rsid w:val="00D43888"/>
    <w:rsid w:val="00D438F6"/>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B68"/>
    <w:rsid w:val="00D55BD5"/>
    <w:rsid w:val="00D55C37"/>
    <w:rsid w:val="00D56330"/>
    <w:rsid w:val="00D563C2"/>
    <w:rsid w:val="00D56810"/>
    <w:rsid w:val="00D56889"/>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F5E"/>
    <w:rsid w:val="00D70F87"/>
    <w:rsid w:val="00D7123A"/>
    <w:rsid w:val="00D71399"/>
    <w:rsid w:val="00D71707"/>
    <w:rsid w:val="00D71BD5"/>
    <w:rsid w:val="00D72265"/>
    <w:rsid w:val="00D72BDC"/>
    <w:rsid w:val="00D73118"/>
    <w:rsid w:val="00D73347"/>
    <w:rsid w:val="00D7364D"/>
    <w:rsid w:val="00D73A3C"/>
    <w:rsid w:val="00D73A6B"/>
    <w:rsid w:val="00D73DAD"/>
    <w:rsid w:val="00D73E0D"/>
    <w:rsid w:val="00D74149"/>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70F3"/>
    <w:rsid w:val="00D771C9"/>
    <w:rsid w:val="00D800A1"/>
    <w:rsid w:val="00D8036A"/>
    <w:rsid w:val="00D80AB8"/>
    <w:rsid w:val="00D80C93"/>
    <w:rsid w:val="00D80CCB"/>
    <w:rsid w:val="00D81303"/>
    <w:rsid w:val="00D81307"/>
    <w:rsid w:val="00D81465"/>
    <w:rsid w:val="00D817FD"/>
    <w:rsid w:val="00D820F3"/>
    <w:rsid w:val="00D829AC"/>
    <w:rsid w:val="00D82AA1"/>
    <w:rsid w:val="00D83401"/>
    <w:rsid w:val="00D83850"/>
    <w:rsid w:val="00D84268"/>
    <w:rsid w:val="00D84278"/>
    <w:rsid w:val="00D846C5"/>
    <w:rsid w:val="00D847C6"/>
    <w:rsid w:val="00D84EF8"/>
    <w:rsid w:val="00D84F16"/>
    <w:rsid w:val="00D86095"/>
    <w:rsid w:val="00D86ACF"/>
    <w:rsid w:val="00D86B37"/>
    <w:rsid w:val="00D86EF6"/>
    <w:rsid w:val="00D87154"/>
    <w:rsid w:val="00D8778A"/>
    <w:rsid w:val="00D91009"/>
    <w:rsid w:val="00D9120D"/>
    <w:rsid w:val="00D9126A"/>
    <w:rsid w:val="00D912DF"/>
    <w:rsid w:val="00D9134B"/>
    <w:rsid w:val="00D9151F"/>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79A"/>
    <w:rsid w:val="00D96AD5"/>
    <w:rsid w:val="00D9793D"/>
    <w:rsid w:val="00D97A27"/>
    <w:rsid w:val="00D97D08"/>
    <w:rsid w:val="00D97E86"/>
    <w:rsid w:val="00DA000D"/>
    <w:rsid w:val="00DA015E"/>
    <w:rsid w:val="00DA02EC"/>
    <w:rsid w:val="00DA054E"/>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5FF"/>
    <w:rsid w:val="00DA6791"/>
    <w:rsid w:val="00DA714A"/>
    <w:rsid w:val="00DA71AF"/>
    <w:rsid w:val="00DA727D"/>
    <w:rsid w:val="00DA7846"/>
    <w:rsid w:val="00DA7A85"/>
    <w:rsid w:val="00DA7BC7"/>
    <w:rsid w:val="00DA7E4C"/>
    <w:rsid w:val="00DA7EC1"/>
    <w:rsid w:val="00DB0564"/>
    <w:rsid w:val="00DB0568"/>
    <w:rsid w:val="00DB0D5D"/>
    <w:rsid w:val="00DB0F35"/>
    <w:rsid w:val="00DB1539"/>
    <w:rsid w:val="00DB1F98"/>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E7A"/>
    <w:rsid w:val="00DC6035"/>
    <w:rsid w:val="00DC65D8"/>
    <w:rsid w:val="00DC6870"/>
    <w:rsid w:val="00DC69C6"/>
    <w:rsid w:val="00DC6A94"/>
    <w:rsid w:val="00DC6E29"/>
    <w:rsid w:val="00DC7347"/>
    <w:rsid w:val="00DC7680"/>
    <w:rsid w:val="00DC7890"/>
    <w:rsid w:val="00DC79A3"/>
    <w:rsid w:val="00DC7E92"/>
    <w:rsid w:val="00DD02C4"/>
    <w:rsid w:val="00DD044C"/>
    <w:rsid w:val="00DD09C5"/>
    <w:rsid w:val="00DD128A"/>
    <w:rsid w:val="00DD12B1"/>
    <w:rsid w:val="00DD12B5"/>
    <w:rsid w:val="00DD157A"/>
    <w:rsid w:val="00DD18BD"/>
    <w:rsid w:val="00DD1947"/>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E7C"/>
    <w:rsid w:val="00DE42A3"/>
    <w:rsid w:val="00DE464E"/>
    <w:rsid w:val="00DE4664"/>
    <w:rsid w:val="00DE4811"/>
    <w:rsid w:val="00DE4B0C"/>
    <w:rsid w:val="00DE5FDA"/>
    <w:rsid w:val="00DE61AA"/>
    <w:rsid w:val="00DE67AE"/>
    <w:rsid w:val="00DE6F6B"/>
    <w:rsid w:val="00DE72AE"/>
    <w:rsid w:val="00DE72D7"/>
    <w:rsid w:val="00DE73EF"/>
    <w:rsid w:val="00DE752E"/>
    <w:rsid w:val="00DE7793"/>
    <w:rsid w:val="00DE7D03"/>
    <w:rsid w:val="00DE7F45"/>
    <w:rsid w:val="00DF0002"/>
    <w:rsid w:val="00DF02EC"/>
    <w:rsid w:val="00DF0820"/>
    <w:rsid w:val="00DF0D33"/>
    <w:rsid w:val="00DF0E63"/>
    <w:rsid w:val="00DF12DC"/>
    <w:rsid w:val="00DF1300"/>
    <w:rsid w:val="00DF1630"/>
    <w:rsid w:val="00DF18AA"/>
    <w:rsid w:val="00DF1EB6"/>
    <w:rsid w:val="00DF1FD6"/>
    <w:rsid w:val="00DF21AF"/>
    <w:rsid w:val="00DF2412"/>
    <w:rsid w:val="00DF2CD9"/>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17B"/>
    <w:rsid w:val="00E26224"/>
    <w:rsid w:val="00E2690E"/>
    <w:rsid w:val="00E26A9D"/>
    <w:rsid w:val="00E26DD2"/>
    <w:rsid w:val="00E272FE"/>
    <w:rsid w:val="00E27950"/>
    <w:rsid w:val="00E30063"/>
    <w:rsid w:val="00E30517"/>
    <w:rsid w:val="00E3070A"/>
    <w:rsid w:val="00E30A72"/>
    <w:rsid w:val="00E30DB2"/>
    <w:rsid w:val="00E31506"/>
    <w:rsid w:val="00E31586"/>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66A"/>
    <w:rsid w:val="00E447D5"/>
    <w:rsid w:val="00E45041"/>
    <w:rsid w:val="00E450D8"/>
    <w:rsid w:val="00E452D0"/>
    <w:rsid w:val="00E45A9D"/>
    <w:rsid w:val="00E4607D"/>
    <w:rsid w:val="00E460A1"/>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5F19"/>
    <w:rsid w:val="00E564C1"/>
    <w:rsid w:val="00E56898"/>
    <w:rsid w:val="00E56D97"/>
    <w:rsid w:val="00E56E3C"/>
    <w:rsid w:val="00E56F3C"/>
    <w:rsid w:val="00E5711F"/>
    <w:rsid w:val="00E571C0"/>
    <w:rsid w:val="00E57456"/>
    <w:rsid w:val="00E575F0"/>
    <w:rsid w:val="00E57623"/>
    <w:rsid w:val="00E57973"/>
    <w:rsid w:val="00E57B14"/>
    <w:rsid w:val="00E6000E"/>
    <w:rsid w:val="00E60050"/>
    <w:rsid w:val="00E6006E"/>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C84"/>
    <w:rsid w:val="00E643D0"/>
    <w:rsid w:val="00E64763"/>
    <w:rsid w:val="00E647DC"/>
    <w:rsid w:val="00E6484F"/>
    <w:rsid w:val="00E64B4F"/>
    <w:rsid w:val="00E65A35"/>
    <w:rsid w:val="00E65E6B"/>
    <w:rsid w:val="00E6640D"/>
    <w:rsid w:val="00E6666C"/>
    <w:rsid w:val="00E666A1"/>
    <w:rsid w:val="00E6682F"/>
    <w:rsid w:val="00E6713B"/>
    <w:rsid w:val="00E671F4"/>
    <w:rsid w:val="00E67631"/>
    <w:rsid w:val="00E7041A"/>
    <w:rsid w:val="00E705E5"/>
    <w:rsid w:val="00E70B0C"/>
    <w:rsid w:val="00E70C56"/>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3AC"/>
    <w:rsid w:val="00E85483"/>
    <w:rsid w:val="00E8572C"/>
    <w:rsid w:val="00E86057"/>
    <w:rsid w:val="00E861F7"/>
    <w:rsid w:val="00E864CA"/>
    <w:rsid w:val="00E86647"/>
    <w:rsid w:val="00E86BF7"/>
    <w:rsid w:val="00E86D51"/>
    <w:rsid w:val="00E87078"/>
    <w:rsid w:val="00E87182"/>
    <w:rsid w:val="00E8765D"/>
    <w:rsid w:val="00E879F0"/>
    <w:rsid w:val="00E87AE6"/>
    <w:rsid w:val="00E87BC7"/>
    <w:rsid w:val="00E909D9"/>
    <w:rsid w:val="00E90BF3"/>
    <w:rsid w:val="00E90D99"/>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887"/>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7E"/>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8CD"/>
    <w:rsid w:val="00EC2915"/>
    <w:rsid w:val="00EC2C50"/>
    <w:rsid w:val="00EC2CD8"/>
    <w:rsid w:val="00EC2E21"/>
    <w:rsid w:val="00EC30FE"/>
    <w:rsid w:val="00EC3500"/>
    <w:rsid w:val="00EC36DD"/>
    <w:rsid w:val="00EC3E31"/>
    <w:rsid w:val="00EC3E81"/>
    <w:rsid w:val="00EC3EC8"/>
    <w:rsid w:val="00EC44E7"/>
    <w:rsid w:val="00EC4D77"/>
    <w:rsid w:val="00EC4D7B"/>
    <w:rsid w:val="00EC4E2E"/>
    <w:rsid w:val="00EC555C"/>
    <w:rsid w:val="00EC60A1"/>
    <w:rsid w:val="00EC614D"/>
    <w:rsid w:val="00EC6337"/>
    <w:rsid w:val="00EC6D31"/>
    <w:rsid w:val="00EC6D68"/>
    <w:rsid w:val="00EC6D82"/>
    <w:rsid w:val="00EC7183"/>
    <w:rsid w:val="00EC71AB"/>
    <w:rsid w:val="00EC7965"/>
    <w:rsid w:val="00EC7EE8"/>
    <w:rsid w:val="00ED0DE8"/>
    <w:rsid w:val="00ED0EB9"/>
    <w:rsid w:val="00ED1A21"/>
    <w:rsid w:val="00ED1A39"/>
    <w:rsid w:val="00ED1CD6"/>
    <w:rsid w:val="00ED2779"/>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0AFE"/>
    <w:rsid w:val="00EE1350"/>
    <w:rsid w:val="00EE15CA"/>
    <w:rsid w:val="00EE18BB"/>
    <w:rsid w:val="00EE1938"/>
    <w:rsid w:val="00EE1CDA"/>
    <w:rsid w:val="00EE24B7"/>
    <w:rsid w:val="00EE286B"/>
    <w:rsid w:val="00EE2911"/>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DBF"/>
    <w:rsid w:val="00EE7ECE"/>
    <w:rsid w:val="00EE7F2E"/>
    <w:rsid w:val="00EF046F"/>
    <w:rsid w:val="00EF082A"/>
    <w:rsid w:val="00EF0E50"/>
    <w:rsid w:val="00EF11C6"/>
    <w:rsid w:val="00EF16D6"/>
    <w:rsid w:val="00EF17D0"/>
    <w:rsid w:val="00EF209D"/>
    <w:rsid w:val="00EF20FD"/>
    <w:rsid w:val="00EF2457"/>
    <w:rsid w:val="00EF2786"/>
    <w:rsid w:val="00EF28E6"/>
    <w:rsid w:val="00EF2FD9"/>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7E9"/>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3F9E"/>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75B"/>
    <w:rsid w:val="00F12909"/>
    <w:rsid w:val="00F12B3D"/>
    <w:rsid w:val="00F12D5D"/>
    <w:rsid w:val="00F13242"/>
    <w:rsid w:val="00F1403E"/>
    <w:rsid w:val="00F140FE"/>
    <w:rsid w:val="00F1415B"/>
    <w:rsid w:val="00F1418D"/>
    <w:rsid w:val="00F14FB4"/>
    <w:rsid w:val="00F15CF3"/>
    <w:rsid w:val="00F15F83"/>
    <w:rsid w:val="00F165FF"/>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C15"/>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27E"/>
    <w:rsid w:val="00F366CE"/>
    <w:rsid w:val="00F369FF"/>
    <w:rsid w:val="00F377A2"/>
    <w:rsid w:val="00F37922"/>
    <w:rsid w:val="00F37AEF"/>
    <w:rsid w:val="00F37C39"/>
    <w:rsid w:val="00F37D73"/>
    <w:rsid w:val="00F37DC6"/>
    <w:rsid w:val="00F37E70"/>
    <w:rsid w:val="00F40C88"/>
    <w:rsid w:val="00F413BA"/>
    <w:rsid w:val="00F41576"/>
    <w:rsid w:val="00F41D1F"/>
    <w:rsid w:val="00F41F48"/>
    <w:rsid w:val="00F426B0"/>
    <w:rsid w:val="00F42910"/>
    <w:rsid w:val="00F42C2B"/>
    <w:rsid w:val="00F4481E"/>
    <w:rsid w:val="00F44833"/>
    <w:rsid w:val="00F44C0B"/>
    <w:rsid w:val="00F45B82"/>
    <w:rsid w:val="00F46694"/>
    <w:rsid w:val="00F467B0"/>
    <w:rsid w:val="00F4683A"/>
    <w:rsid w:val="00F46E40"/>
    <w:rsid w:val="00F46EAB"/>
    <w:rsid w:val="00F46F8B"/>
    <w:rsid w:val="00F47132"/>
    <w:rsid w:val="00F47728"/>
    <w:rsid w:val="00F4786E"/>
    <w:rsid w:val="00F47AF4"/>
    <w:rsid w:val="00F47AFE"/>
    <w:rsid w:val="00F47CBA"/>
    <w:rsid w:val="00F47CF5"/>
    <w:rsid w:val="00F50020"/>
    <w:rsid w:val="00F50671"/>
    <w:rsid w:val="00F50849"/>
    <w:rsid w:val="00F50D5A"/>
    <w:rsid w:val="00F510D3"/>
    <w:rsid w:val="00F513BA"/>
    <w:rsid w:val="00F51447"/>
    <w:rsid w:val="00F514EF"/>
    <w:rsid w:val="00F516F4"/>
    <w:rsid w:val="00F517FC"/>
    <w:rsid w:val="00F520C6"/>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64B4"/>
    <w:rsid w:val="00F56D31"/>
    <w:rsid w:val="00F56E43"/>
    <w:rsid w:val="00F56F50"/>
    <w:rsid w:val="00F57183"/>
    <w:rsid w:val="00F5765A"/>
    <w:rsid w:val="00F57C72"/>
    <w:rsid w:val="00F57E51"/>
    <w:rsid w:val="00F6021A"/>
    <w:rsid w:val="00F6021F"/>
    <w:rsid w:val="00F60845"/>
    <w:rsid w:val="00F61158"/>
    <w:rsid w:val="00F614D1"/>
    <w:rsid w:val="00F614DB"/>
    <w:rsid w:val="00F6150E"/>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9D8"/>
    <w:rsid w:val="00F72C94"/>
    <w:rsid w:val="00F73010"/>
    <w:rsid w:val="00F7315E"/>
    <w:rsid w:val="00F737F5"/>
    <w:rsid w:val="00F73F43"/>
    <w:rsid w:val="00F73F66"/>
    <w:rsid w:val="00F74664"/>
    <w:rsid w:val="00F74791"/>
    <w:rsid w:val="00F747FD"/>
    <w:rsid w:val="00F74A7A"/>
    <w:rsid w:val="00F75057"/>
    <w:rsid w:val="00F750BC"/>
    <w:rsid w:val="00F75C0B"/>
    <w:rsid w:val="00F763DF"/>
    <w:rsid w:val="00F76B16"/>
    <w:rsid w:val="00F77028"/>
    <w:rsid w:val="00F7792A"/>
    <w:rsid w:val="00F77A6F"/>
    <w:rsid w:val="00F77C47"/>
    <w:rsid w:val="00F77C4B"/>
    <w:rsid w:val="00F77CFA"/>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414"/>
    <w:rsid w:val="00F879C6"/>
    <w:rsid w:val="00F87D07"/>
    <w:rsid w:val="00F87D16"/>
    <w:rsid w:val="00F901C2"/>
    <w:rsid w:val="00F902D2"/>
    <w:rsid w:val="00F90391"/>
    <w:rsid w:val="00F9046C"/>
    <w:rsid w:val="00F90BE4"/>
    <w:rsid w:val="00F90C86"/>
    <w:rsid w:val="00F90CDA"/>
    <w:rsid w:val="00F90DC7"/>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E7"/>
    <w:rsid w:val="00F93A3D"/>
    <w:rsid w:val="00F93A5F"/>
    <w:rsid w:val="00F94003"/>
    <w:rsid w:val="00F945E2"/>
    <w:rsid w:val="00F94737"/>
    <w:rsid w:val="00F9495D"/>
    <w:rsid w:val="00F95013"/>
    <w:rsid w:val="00F951BD"/>
    <w:rsid w:val="00F9590D"/>
    <w:rsid w:val="00F9608F"/>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94"/>
    <w:rsid w:val="00FB3CD6"/>
    <w:rsid w:val="00FB4065"/>
    <w:rsid w:val="00FB4760"/>
    <w:rsid w:val="00FB47B5"/>
    <w:rsid w:val="00FB4938"/>
    <w:rsid w:val="00FB4E02"/>
    <w:rsid w:val="00FB5201"/>
    <w:rsid w:val="00FB52FD"/>
    <w:rsid w:val="00FB57A7"/>
    <w:rsid w:val="00FB5A6F"/>
    <w:rsid w:val="00FB67CA"/>
    <w:rsid w:val="00FB6E91"/>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92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055C"/>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A05"/>
    <w:rsid w:val="00FE1EC0"/>
    <w:rsid w:val="00FE1FA1"/>
    <w:rsid w:val="00FE22FE"/>
    <w:rsid w:val="00FE2B7B"/>
    <w:rsid w:val="00FE3100"/>
    <w:rsid w:val="00FE326E"/>
    <w:rsid w:val="00FE3503"/>
    <w:rsid w:val="00FE3768"/>
    <w:rsid w:val="00FE3D47"/>
    <w:rsid w:val="00FE42C4"/>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682"/>
    <w:rsid w:val="00FF0895"/>
    <w:rsid w:val="00FF0BBB"/>
    <w:rsid w:val="00FF0C69"/>
    <w:rsid w:val="00FF114C"/>
    <w:rsid w:val="00FF1455"/>
    <w:rsid w:val="00FF1716"/>
    <w:rsid w:val="00FF1920"/>
    <w:rsid w:val="00FF1ACF"/>
    <w:rsid w:val="00FF2100"/>
    <w:rsid w:val="00FF2644"/>
    <w:rsid w:val="00FF26B7"/>
    <w:rsid w:val="00FF2A88"/>
    <w:rsid w:val="00FF32E9"/>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43D"/>
    <w:rsid w:val="00FF6CF6"/>
    <w:rsid w:val="00FF70CF"/>
    <w:rsid w:val="00FF72A3"/>
    <w:rsid w:val="00FF74BE"/>
    <w:rsid w:val="00FF75D0"/>
    <w:rsid w:val="00FF78DB"/>
    <w:rsid w:val="00FF7A04"/>
    <w:rsid w:val="0284643E"/>
    <w:rsid w:val="029D0FBE"/>
    <w:rsid w:val="03532C3F"/>
    <w:rsid w:val="03B25C4C"/>
    <w:rsid w:val="05C20532"/>
    <w:rsid w:val="067D4C1C"/>
    <w:rsid w:val="06B127E5"/>
    <w:rsid w:val="072F2729"/>
    <w:rsid w:val="07C21FA9"/>
    <w:rsid w:val="0957797D"/>
    <w:rsid w:val="0972706B"/>
    <w:rsid w:val="09C21BB6"/>
    <w:rsid w:val="0AFC60B7"/>
    <w:rsid w:val="0BAD7041"/>
    <w:rsid w:val="0C6F5654"/>
    <w:rsid w:val="0C787870"/>
    <w:rsid w:val="0D132BA9"/>
    <w:rsid w:val="0D660AC2"/>
    <w:rsid w:val="0D672BF6"/>
    <w:rsid w:val="0E120AD5"/>
    <w:rsid w:val="0EB06FFE"/>
    <w:rsid w:val="10150A41"/>
    <w:rsid w:val="1257267A"/>
    <w:rsid w:val="126A137E"/>
    <w:rsid w:val="12A472D8"/>
    <w:rsid w:val="12FE321B"/>
    <w:rsid w:val="130859B8"/>
    <w:rsid w:val="13181A89"/>
    <w:rsid w:val="141F2191"/>
    <w:rsid w:val="1575AEB2"/>
    <w:rsid w:val="164F7F6D"/>
    <w:rsid w:val="165E068A"/>
    <w:rsid w:val="1702D3F2"/>
    <w:rsid w:val="17245733"/>
    <w:rsid w:val="188D2058"/>
    <w:rsid w:val="18BA7603"/>
    <w:rsid w:val="18FD3F86"/>
    <w:rsid w:val="192B740B"/>
    <w:rsid w:val="1A514204"/>
    <w:rsid w:val="1A961A55"/>
    <w:rsid w:val="1B2E6DC7"/>
    <w:rsid w:val="1B5316CE"/>
    <w:rsid w:val="1C766428"/>
    <w:rsid w:val="1D21768D"/>
    <w:rsid w:val="1DD50930"/>
    <w:rsid w:val="1DF407BB"/>
    <w:rsid w:val="1E38003B"/>
    <w:rsid w:val="1E6132BD"/>
    <w:rsid w:val="1F1259E3"/>
    <w:rsid w:val="1F850095"/>
    <w:rsid w:val="1FB91CD0"/>
    <w:rsid w:val="20031648"/>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B0E3D3A"/>
    <w:rsid w:val="2D376513"/>
    <w:rsid w:val="2DA236EE"/>
    <w:rsid w:val="2DC863F1"/>
    <w:rsid w:val="2EB72406"/>
    <w:rsid w:val="2F2367DE"/>
    <w:rsid w:val="2F8A1382"/>
    <w:rsid w:val="32FE23BF"/>
    <w:rsid w:val="330E6893"/>
    <w:rsid w:val="3511129D"/>
    <w:rsid w:val="359455FE"/>
    <w:rsid w:val="36CD07B0"/>
    <w:rsid w:val="375C57D7"/>
    <w:rsid w:val="37DD651E"/>
    <w:rsid w:val="38BA113F"/>
    <w:rsid w:val="3A135075"/>
    <w:rsid w:val="3A8424B5"/>
    <w:rsid w:val="3AB31D0C"/>
    <w:rsid w:val="3B4A3B53"/>
    <w:rsid w:val="3C923082"/>
    <w:rsid w:val="3D212142"/>
    <w:rsid w:val="3D7642C9"/>
    <w:rsid w:val="3DDA6D42"/>
    <w:rsid w:val="3E7347F4"/>
    <w:rsid w:val="3E7C62FE"/>
    <w:rsid w:val="3EF83C43"/>
    <w:rsid w:val="3F175FC8"/>
    <w:rsid w:val="3FD010A5"/>
    <w:rsid w:val="40850DCD"/>
    <w:rsid w:val="41AC1D9C"/>
    <w:rsid w:val="4242619A"/>
    <w:rsid w:val="42B20782"/>
    <w:rsid w:val="44917C93"/>
    <w:rsid w:val="44982C8E"/>
    <w:rsid w:val="44B30C06"/>
    <w:rsid w:val="46D41E44"/>
    <w:rsid w:val="47AE2F53"/>
    <w:rsid w:val="494958D6"/>
    <w:rsid w:val="496938E0"/>
    <w:rsid w:val="49882B35"/>
    <w:rsid w:val="4B3872E6"/>
    <w:rsid w:val="4CA149AE"/>
    <w:rsid w:val="4D112956"/>
    <w:rsid w:val="4DF51404"/>
    <w:rsid w:val="4E5633F4"/>
    <w:rsid w:val="4E7740D9"/>
    <w:rsid w:val="4EAC0AFF"/>
    <w:rsid w:val="4EC2021D"/>
    <w:rsid w:val="4EED6526"/>
    <w:rsid w:val="4F8B7434"/>
    <w:rsid w:val="50FD13B2"/>
    <w:rsid w:val="52E87582"/>
    <w:rsid w:val="54CE2507"/>
    <w:rsid w:val="55181CD2"/>
    <w:rsid w:val="55D01D97"/>
    <w:rsid w:val="57244B18"/>
    <w:rsid w:val="57EF6871"/>
    <w:rsid w:val="58240039"/>
    <w:rsid w:val="586E4F2E"/>
    <w:rsid w:val="595A121E"/>
    <w:rsid w:val="5AF07FF7"/>
    <w:rsid w:val="5AF422E5"/>
    <w:rsid w:val="5B16098D"/>
    <w:rsid w:val="5BF26431"/>
    <w:rsid w:val="5E780DEA"/>
    <w:rsid w:val="5F631FA8"/>
    <w:rsid w:val="6121053D"/>
    <w:rsid w:val="6547429A"/>
    <w:rsid w:val="65507243"/>
    <w:rsid w:val="656027FF"/>
    <w:rsid w:val="66457E51"/>
    <w:rsid w:val="67560407"/>
    <w:rsid w:val="685061F3"/>
    <w:rsid w:val="691A3243"/>
    <w:rsid w:val="6A782EAA"/>
    <w:rsid w:val="6B704279"/>
    <w:rsid w:val="6D020EA1"/>
    <w:rsid w:val="6E0F1211"/>
    <w:rsid w:val="6FBD0858"/>
    <w:rsid w:val="71961602"/>
    <w:rsid w:val="72E1752D"/>
    <w:rsid w:val="73A015C2"/>
    <w:rsid w:val="73A913CF"/>
    <w:rsid w:val="73EB1497"/>
    <w:rsid w:val="74000A47"/>
    <w:rsid w:val="74885606"/>
    <w:rsid w:val="751115BE"/>
    <w:rsid w:val="75740E00"/>
    <w:rsid w:val="763A080C"/>
    <w:rsid w:val="76EB5B39"/>
    <w:rsid w:val="776F4F23"/>
    <w:rsid w:val="77C52E73"/>
    <w:rsid w:val="78156E78"/>
    <w:rsid w:val="782D5EAF"/>
    <w:rsid w:val="789F1175"/>
    <w:rsid w:val="7931734A"/>
    <w:rsid w:val="79AA3D15"/>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jc w:val="both"/>
      <w:textAlignment w:val="baseline"/>
    </w:pPr>
    <w:rPr>
      <w:rFonts w:ascii="Times New Roman" w:hAnsi="Times New Roman" w:eastAsia="宋体" w:cs="Times New Roman"/>
      <w:lang w:val="en-US" w:eastAsia="en-US" w:bidi="ar-SA"/>
    </w:rPr>
  </w:style>
  <w:style w:type="paragraph" w:styleId="2">
    <w:name w:val="heading 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6"/>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32"/>
    </w:rPr>
  </w:style>
  <w:style w:type="paragraph" w:styleId="4">
    <w:name w:val="heading 3"/>
    <w:basedOn w:val="3"/>
    <w:next w:val="1"/>
    <w:link w:val="106"/>
    <w:qFormat/>
    <w:uiPriority w:val="0"/>
    <w:pPr>
      <w:numPr>
        <w:ilvl w:val="2"/>
      </w:numPr>
      <w:spacing w:before="120"/>
      <w:outlineLvl w:val="2"/>
    </w:pPr>
    <w:rPr>
      <w:sz w:val="28"/>
    </w:r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0">
    <w:name w:val="Default Paragraph Font"/>
    <w:semiHidden/>
    <w:unhideWhenUsed/>
    <w:uiPriority w:val="1"/>
  </w:style>
  <w:style w:type="table" w:default="1" w:styleId="58">
    <w:name w:val="Normal Table"/>
    <w:semiHidden/>
    <w:unhideWhenUsed/>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8"/>
    <w:qFormat/>
    <w:uiPriority w:val="0"/>
    <w:rPr>
      <w:lang w:eastAsia="zh-CN"/>
    </w:rPr>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4">
    <w:name w:val="List Number 2"/>
    <w:basedOn w:val="25"/>
    <w:qFormat/>
    <w:uiPriority w:val="0"/>
    <w:pPr>
      <w:ind w:left="851"/>
    </w:pPr>
  </w:style>
  <w:style w:type="paragraph" w:styleId="25">
    <w:name w:val="List Number"/>
    <w:basedOn w:val="14"/>
    <w:qFormat/>
    <w:uiPriority w:val="0"/>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style>
  <w:style w:type="paragraph" w:styleId="30">
    <w:name w:val="caption"/>
    <w:basedOn w:val="1"/>
    <w:next w:val="1"/>
    <w:link w:val="130"/>
    <w:qFormat/>
    <w:uiPriority w:val="0"/>
    <w:pPr>
      <w:spacing w:before="120" w:after="120"/>
    </w:pPr>
    <w:rPr>
      <w:b/>
      <w:bCs/>
    </w:rPr>
  </w:style>
  <w:style w:type="paragraph" w:styleId="31">
    <w:name w:val="Document Map"/>
    <w:basedOn w:val="1"/>
    <w:semiHidden/>
    <w:qFormat/>
    <w:uiPriority w:val="0"/>
    <w:pPr>
      <w:shd w:val="clear" w:color="auto" w:fill="000080"/>
    </w:pPr>
    <w:rPr>
      <w:rFonts w:ascii="Tahoma" w:hAnsi="Tahoma"/>
    </w:rPr>
  </w:style>
  <w:style w:type="paragraph" w:styleId="32">
    <w:name w:val="Body Text 3"/>
    <w:basedOn w:val="1"/>
    <w:qFormat/>
    <w:uiPriority w:val="0"/>
    <w:rPr>
      <w:i/>
    </w:rPr>
  </w:style>
  <w:style w:type="paragraph" w:styleId="33">
    <w:name w:val="Body Text"/>
    <w:basedOn w:val="1"/>
    <w:link w:val="128"/>
    <w:qFormat/>
    <w:uiPriority w:val="0"/>
    <w:pPr>
      <w:spacing w:after="120"/>
    </w:pPr>
    <w:rPr>
      <w:sz w:val="22"/>
      <w:szCs w:val="24"/>
    </w:rPr>
  </w:style>
  <w:style w:type="paragraph" w:styleId="34">
    <w:name w:val="Body Text Indent"/>
    <w:basedOn w:val="1"/>
    <w:qFormat/>
    <w:uiPriority w:val="0"/>
    <w:pPr>
      <w:spacing w:before="240" w:line="240" w:lineRule="exact"/>
      <w:ind w:firstLine="960" w:firstLineChars="400"/>
    </w:pPr>
    <w:rPr>
      <w:rFonts w:eastAsia="楷体_GB2312"/>
      <w:sz w:val="24"/>
    </w:rPr>
  </w:style>
  <w:style w:type="paragraph" w:styleId="35">
    <w:name w:val="List Bullet 5"/>
    <w:basedOn w:val="26"/>
    <w:qFormat/>
    <w:uiPriority w:val="0"/>
    <w:pPr>
      <w:ind w:left="1702"/>
    </w:pPr>
  </w:style>
  <w:style w:type="paragraph" w:styleId="36">
    <w:name w:val="toc 8"/>
    <w:basedOn w:val="23"/>
    <w:next w:val="1"/>
    <w:semiHidden/>
    <w:qFormat/>
    <w:uiPriority w:val="0"/>
    <w:pPr>
      <w:spacing w:before="180"/>
      <w:ind w:left="2693" w:hanging="2693"/>
    </w:pPr>
    <w:rPr>
      <w:b/>
    </w:rPr>
  </w:style>
  <w:style w:type="paragraph" w:styleId="37">
    <w:name w:val="Balloon Text"/>
    <w:basedOn w:val="1"/>
    <w:semiHidden/>
    <w:qFormat/>
    <w:uiPriority w:val="0"/>
    <w:rPr>
      <w:rFonts w:ascii="Tahoma" w:hAnsi="Tahoma" w:cs="Tahoma"/>
      <w:sz w:val="16"/>
      <w:szCs w:val="16"/>
    </w:rPr>
  </w:style>
  <w:style w:type="paragraph" w:styleId="38">
    <w:name w:val="footer"/>
    <w:basedOn w:val="39"/>
    <w:link w:val="127"/>
    <w:qFormat/>
    <w:uiPriority w:val="99"/>
    <w:pPr>
      <w:jc w:val="center"/>
    </w:pPr>
    <w:rPr>
      <w:i/>
    </w:rPr>
  </w:style>
  <w:style w:type="paragraph" w:styleId="39">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40">
    <w:name w:val="Subtitle"/>
    <w:basedOn w:val="1"/>
    <w:next w:val="1"/>
    <w:link w:val="116"/>
    <w:qFormat/>
    <w:uiPriority w:val="0"/>
    <w:pPr>
      <w:spacing w:after="60"/>
      <w:jc w:val="center"/>
      <w:outlineLvl w:val="1"/>
    </w:pPr>
    <w:rPr>
      <w:rFonts w:ascii="Cambria" w:hAnsi="Cambria"/>
      <w:sz w:val="24"/>
      <w:szCs w:val="24"/>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1"/>
    <w:next w:val="1"/>
    <w:unhideWhenUsed/>
    <w:qFormat/>
    <w:uiPriority w:val="99"/>
    <w:pPr>
      <w:spacing w:before="120" w:after="120"/>
    </w:pPr>
  </w:style>
  <w:style w:type="paragraph" w:styleId="45">
    <w:name w:val="toc 9"/>
    <w:basedOn w:val="36"/>
    <w:next w:val="1"/>
    <w:semiHidden/>
    <w:qFormat/>
    <w:uiPriority w:val="0"/>
    <w:pPr>
      <w:ind w:left="1418" w:hanging="1418"/>
    </w:pPr>
  </w:style>
  <w:style w:type="paragraph" w:styleId="46">
    <w:name w:val="Body Text 2"/>
    <w:basedOn w:val="1"/>
    <w:qFormat/>
    <w:uiPriority w:val="0"/>
    <w:pPr>
      <w:tabs>
        <w:tab w:val="left" w:pos="1985"/>
      </w:tabs>
      <w:spacing w:after="0"/>
    </w:pPr>
    <w:rPr>
      <w:rFonts w:ascii="Arial" w:hAnsi="Arial"/>
      <w:sz w:val="22"/>
    </w:rPr>
  </w:style>
  <w:style w:type="paragraph" w:styleId="47">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8">
    <w:name w:val="index 1"/>
    <w:basedOn w:val="1"/>
    <w:next w:val="1"/>
    <w:semiHidden/>
    <w:qFormat/>
    <w:uiPriority w:val="0"/>
    <w:pPr>
      <w:keepLines/>
      <w:spacing w:after="0"/>
    </w:pPr>
  </w:style>
  <w:style w:type="paragraph" w:styleId="49">
    <w:name w:val="index 2"/>
    <w:basedOn w:val="48"/>
    <w:next w:val="1"/>
    <w:semiHidden/>
    <w:qFormat/>
    <w:uiPriority w:val="0"/>
    <w:pPr>
      <w:ind w:left="284"/>
    </w:pPr>
  </w:style>
  <w:style w:type="character" w:styleId="51">
    <w:name w:val="Strong"/>
    <w:basedOn w:val="50"/>
    <w:qFormat/>
    <w:uiPriority w:val="0"/>
    <w:rPr>
      <w:b/>
      <w:bCs/>
    </w:rPr>
  </w:style>
  <w:style w:type="character" w:styleId="52">
    <w:name w:val="page number"/>
    <w:basedOn w:val="50"/>
    <w:qFormat/>
    <w:uiPriority w:val="0"/>
  </w:style>
  <w:style w:type="character" w:styleId="53">
    <w:name w:val="FollowedHyperlink"/>
    <w:basedOn w:val="50"/>
    <w:semiHidden/>
    <w:unhideWhenUsed/>
    <w:qFormat/>
    <w:uiPriority w:val="0"/>
    <w:rPr>
      <w:color w:val="954F72" w:themeColor="followedHyperlink"/>
      <w:u w:val="single"/>
      <w14:textFill>
        <w14:solidFill>
          <w14:schemeClr w14:val="folHlink"/>
        </w14:solidFill>
      </w14:textFill>
    </w:rPr>
  </w:style>
  <w:style w:type="character" w:styleId="54">
    <w:name w:val="Emphasis"/>
    <w:basedOn w:val="50"/>
    <w:qFormat/>
    <w:uiPriority w:val="0"/>
    <w:rPr>
      <w:i/>
      <w:iCs/>
    </w:rPr>
  </w:style>
  <w:style w:type="character" w:styleId="55">
    <w:name w:val="Hyperlink"/>
    <w:qFormat/>
    <w:uiPriority w:val="99"/>
    <w:rPr>
      <w:color w:val="0000FF"/>
      <w:u w:val="single"/>
    </w:rPr>
  </w:style>
  <w:style w:type="character" w:styleId="56">
    <w:name w:val="annotation reference"/>
    <w:semiHidden/>
    <w:qFormat/>
    <w:uiPriority w:val="0"/>
    <w:rPr>
      <w:sz w:val="16"/>
      <w:szCs w:val="16"/>
    </w:rPr>
  </w:style>
  <w:style w:type="character" w:styleId="57">
    <w:name w:val="footnote reference"/>
    <w:semiHidden/>
    <w:qFormat/>
    <w:uiPriority w:val="0"/>
    <w:rPr>
      <w:b/>
      <w:position w:val="6"/>
      <w:sz w:val="16"/>
    </w:rPr>
  </w:style>
  <w:style w:type="table" w:styleId="59">
    <w:name w:val="Table Grid"/>
    <w:basedOn w:val="58"/>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3"/>
    <w:qFormat/>
    <w:uiPriority w:val="0"/>
    <w:pPr>
      <w:ind w:left="1134" w:firstLine="0"/>
    </w:pPr>
  </w:style>
  <w:style w:type="paragraph" w:customStyle="1" w:styleId="91">
    <w:name w:val="B5"/>
    <w:basedOn w:val="42"/>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after="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after="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Heading 1 Char1"/>
    <w:link w:val="2"/>
    <w:qFormat/>
    <w:uiPriority w:val="0"/>
    <w:rPr>
      <w:rFonts w:ascii="Arial" w:hAnsi="Arial"/>
      <w:sz w:val="36"/>
      <w:lang w:val="en-GB" w:eastAsia="en-US"/>
    </w:rPr>
  </w:style>
  <w:style w:type="character" w:customStyle="1" w:styleId="105">
    <w:name w:val="Heading 2 Char"/>
    <w:link w:val="3"/>
    <w:qFormat/>
    <w:uiPriority w:val="0"/>
    <w:rPr>
      <w:rFonts w:ascii="Arial" w:hAnsi="Arial"/>
      <w:sz w:val="32"/>
      <w:lang w:val="en-GB" w:eastAsia="en-US"/>
    </w:rPr>
  </w:style>
  <w:style w:type="character" w:customStyle="1" w:styleId="106">
    <w:name w:val="Heading 3 Char"/>
    <w:link w:val="4"/>
    <w:qFormat/>
    <w:uiPriority w:val="0"/>
    <w:rPr>
      <w:rFonts w:ascii="Arial" w:hAnsi="Arial"/>
      <w:sz w:val="28"/>
      <w:lang w:val="en-GB" w:eastAsia="en-US"/>
    </w:rPr>
  </w:style>
  <w:style w:type="character" w:customStyle="1" w:styleId="107">
    <w:name w:val="Heading 4 Char"/>
    <w:link w:val="5"/>
    <w:qFormat/>
    <w:uiPriority w:val="0"/>
    <w:rPr>
      <w:rFonts w:ascii="Arial" w:hAnsi="Arial"/>
      <w:sz w:val="24"/>
      <w:lang w:val="en-GB" w:eastAsia="en-US"/>
    </w:rPr>
  </w:style>
  <w:style w:type="character" w:customStyle="1" w:styleId="108">
    <w:name w:val="Heading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spacing w:after="120"/>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Subtitle Char"/>
    <w:link w:val="40"/>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Comment Text Char"/>
    <w:link w:val="16"/>
    <w:qFormat/>
    <w:uiPriority w:val="0"/>
    <w:rPr>
      <w:rFonts w:ascii="Times New Roman" w:hAnsi="Times New Roman"/>
      <w:lang w:val="en-GB"/>
    </w:rPr>
  </w:style>
  <w:style w:type="paragraph" w:customStyle="1" w:styleId="119">
    <w:name w:val="LGTdoc_본문"/>
    <w:basedOn w:val="1"/>
    <w:qFormat/>
    <w:uiPriority w:val="0"/>
    <w:pPr>
      <w:widowControl w:val="0"/>
      <w:overflowPunct/>
      <w:snapToGrid w:val="0"/>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List Paragraph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napToGrid w:val="0"/>
      <w:spacing w:after="60"/>
      <w:textAlignment w:val="auto"/>
    </w:pPr>
    <w:rPr>
      <w:szCs w:val="16"/>
    </w:rPr>
  </w:style>
  <w:style w:type="character" w:customStyle="1" w:styleId="127">
    <w:name w:val="Footer Char"/>
    <w:basedOn w:val="50"/>
    <w:link w:val="38"/>
    <w:qFormat/>
    <w:uiPriority w:val="99"/>
    <w:rPr>
      <w:rFonts w:ascii="Arial" w:hAnsi="Arial"/>
      <w:b/>
      <w:i/>
      <w:sz w:val="18"/>
      <w:lang w:eastAsia="en-US"/>
    </w:rPr>
  </w:style>
  <w:style w:type="character" w:customStyle="1" w:styleId="128">
    <w:name w:val="Body Text Char"/>
    <w:basedOn w:val="50"/>
    <w:link w:val="33"/>
    <w:qFormat/>
    <w:uiPriority w:val="0"/>
    <w:rPr>
      <w:sz w:val="22"/>
      <w:szCs w:val="24"/>
      <w:lang w:eastAsia="en-US"/>
    </w:rPr>
  </w:style>
  <w:style w:type="table" w:customStyle="1" w:styleId="129">
    <w:name w:val="网格表 4 - 着色 11"/>
    <w:basedOn w:val="58"/>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Layout w:type="fixed"/>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Caption Char"/>
    <w:link w:val="30"/>
    <w:qFormat/>
    <w:uiPriority w:val="99"/>
    <w:rPr>
      <w:rFonts w:ascii="Times New Roman" w:hAnsi="Times New Roman"/>
      <w:b/>
      <w:bCs/>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0"/>
    <w:link w:val="131"/>
    <w:qFormat/>
    <w:uiPriority w:val="0"/>
    <w:rPr>
      <w:rFonts w:eastAsia="MS Mincho"/>
      <w:i/>
      <w:lang w:eastAsia="ja-JP"/>
    </w:rPr>
  </w:style>
  <w:style w:type="character" w:customStyle="1" w:styleId="133">
    <w:name w:val="NO Char"/>
    <w:basedOn w:val="50"/>
    <w:link w:val="68"/>
    <w:qFormat/>
    <w:locked/>
    <w:uiPriority w:val="0"/>
    <w:rPr>
      <w:rFonts w:ascii="Times New Roman" w:hAnsi="Times New Roman"/>
      <w:lang w:eastAsia="en-US"/>
    </w:rPr>
  </w:style>
  <w:style w:type="character" w:customStyle="1" w:styleId="134">
    <w:name w:val="B1 Char1"/>
    <w:basedOn w:val="50"/>
    <w:link w:val="87"/>
    <w:qFormat/>
    <w:locked/>
    <w:uiPriority w:val="0"/>
    <w:rPr>
      <w:lang w:eastAsia="en-US"/>
    </w:rPr>
  </w:style>
  <w:style w:type="character" w:customStyle="1" w:styleId="135">
    <w:name w:val="B2 Char"/>
    <w:basedOn w:val="50"/>
    <w:link w:val="88"/>
    <w:qFormat/>
    <w:locked/>
    <w:uiPriority w:val="0"/>
    <w:rPr>
      <w:lang w:eastAsia="en-US"/>
    </w:rPr>
  </w:style>
  <w:style w:type="character" w:customStyle="1" w:styleId="136">
    <w:name w:val="明显强调1"/>
    <w:basedOn w:val="50"/>
    <w:qFormat/>
    <w:uiPriority w:val="21"/>
    <w:rPr>
      <w:i/>
      <w:iCs/>
      <w:color w:val="5B9BD5" w:themeColor="accent1"/>
      <w14:textFill>
        <w14:solidFill>
          <w14:schemeClr w14:val="accent1"/>
        </w14:solidFill>
      </w14:textFill>
    </w:rPr>
  </w:style>
  <w:style w:type="character" w:customStyle="1" w:styleId="137">
    <w:name w:val="不明显强调1"/>
    <w:basedOn w:val="50"/>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0"/>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8"/>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8"/>
    <w:semiHidden/>
    <w:qFormat/>
    <w:uiPriority w:val="0"/>
    <w:rPr>
      <w:rFonts w:eastAsia="CG Times (WN)"/>
    </w:rPr>
    <w:tblPr>
      <w:tblLayout w:type="fixed"/>
      <w:tblCellMar>
        <w:top w:w="0" w:type="dxa"/>
        <w:left w:w="108" w:type="dxa"/>
        <w:bottom w:w="0" w:type="dxa"/>
        <w:right w:w="108" w:type="dxa"/>
      </w:tblCellMar>
    </w:tblPr>
  </w:style>
  <w:style w:type="character" w:customStyle="1" w:styleId="146">
    <w:name w:val="Subtle Emphasis1"/>
    <w:basedOn w:val="50"/>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0"/>
    <w:qFormat/>
    <w:uiPriority w:val="21"/>
    <w:rPr>
      <w:i/>
      <w:iCs/>
      <w:color w:val="5B9BD5" w:themeColor="accent1"/>
      <w14:textFill>
        <w14:solidFill>
          <w14:schemeClr w14:val="accent1"/>
        </w14:solidFill>
      </w14:textFill>
    </w:rPr>
  </w:style>
  <w:style w:type="character" w:customStyle="1" w:styleId="148">
    <w:name w:val="Subtle Reference1"/>
    <w:basedOn w:val="50"/>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0"/>
    <w:qFormat/>
    <w:uiPriority w:val="33"/>
    <w:rPr>
      <w:b/>
      <w:bCs/>
      <w:i/>
      <w:iCs/>
      <w:spacing w:val="5"/>
    </w:rPr>
  </w:style>
  <w:style w:type="table" w:customStyle="1" w:styleId="150">
    <w:name w:val="Table Normal2"/>
    <w:basedOn w:val="58"/>
    <w:semiHidden/>
    <w:qFormat/>
    <w:uiPriority w:val="0"/>
    <w:rPr>
      <w:rFonts w:cs="Arial"/>
    </w:rPr>
    <w:tblPr>
      <w:tblLayout w:type="fixed"/>
      <w:tblCellMar>
        <w:top w:w="0" w:type="dxa"/>
        <w:left w:w="108" w:type="dxa"/>
        <w:bottom w:w="0" w:type="dxa"/>
        <w:right w:w="108" w:type="dxa"/>
      </w:tblCellMar>
    </w:tblPr>
  </w:style>
  <w:style w:type="paragraph" w:customStyle="1" w:styleId="151">
    <w:name w:val="正文1"/>
    <w:qFormat/>
    <w:uiPriority w:val="0"/>
    <w:pPr>
      <w:spacing w:before="100" w:beforeAutospacing="1" w:after="180"/>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image" Target="media/image2.emf"/><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4" Type="http://schemas.openxmlformats.org/officeDocument/2006/relationships/fontTable" Target="fontTable.xml"/><Relationship Id="rId33" Type="http://schemas.openxmlformats.org/officeDocument/2006/relationships/customXml" Target="../customXml/item6.xml"/><Relationship Id="rId32" Type="http://schemas.openxmlformats.org/officeDocument/2006/relationships/customXml" Target="../customXml/item5.xml"/><Relationship Id="rId31" Type="http://schemas.openxmlformats.org/officeDocument/2006/relationships/customXml" Target="../customXml/item4.xml"/><Relationship Id="rId30" Type="http://schemas.openxmlformats.org/officeDocument/2006/relationships/customXml" Target="../customXml/item3.xml"/><Relationship Id="rId3" Type="http://schemas.openxmlformats.org/officeDocument/2006/relationships/header" Target="header1.xml"/><Relationship Id="rId29" Type="http://schemas.openxmlformats.org/officeDocument/2006/relationships/customXml" Target="../customXml/item2.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oleObject" Target="embeddings/oleObject11.bin"/><Relationship Id="rId25" Type="http://schemas.openxmlformats.org/officeDocument/2006/relationships/image" Target="media/image9.wmf"/><Relationship Id="rId24" Type="http://schemas.openxmlformats.org/officeDocument/2006/relationships/oleObject" Target="embeddings/oleObject10.bin"/><Relationship Id="rId23" Type="http://schemas.openxmlformats.org/officeDocument/2006/relationships/oleObject" Target="embeddings/oleObject9.bin"/><Relationship Id="rId22" Type="http://schemas.openxmlformats.org/officeDocument/2006/relationships/oleObject" Target="embeddings/oleObject8.bin"/><Relationship Id="rId21" Type="http://schemas.openxmlformats.org/officeDocument/2006/relationships/image" Target="media/image8.w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6.bin"/><Relationship Id="rId17" Type="http://schemas.openxmlformats.org/officeDocument/2006/relationships/image" Target="media/image6.wmf"/><Relationship Id="rId16" Type="http://schemas.openxmlformats.org/officeDocument/2006/relationships/oleObject" Target="embeddings/oleObject5.bin"/><Relationship Id="rId15" Type="http://schemas.openxmlformats.org/officeDocument/2006/relationships/image" Target="media/image5.wmf"/><Relationship Id="rId14" Type="http://schemas.openxmlformats.org/officeDocument/2006/relationships/oleObject" Target="embeddings/oleObject4.bin"/><Relationship Id="rId13" Type="http://schemas.openxmlformats.org/officeDocument/2006/relationships/oleObject" Target="embeddings/oleObject3.bin"/><Relationship Id="rId12" Type="http://schemas.openxmlformats.org/officeDocument/2006/relationships/image" Target="media/image4.wmf"/><Relationship Id="rId11" Type="http://schemas.openxmlformats.org/officeDocument/2006/relationships/oleObject" Target="embeddings/oleObject2.bin"/><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60E6E25-7C21-4FE0-8734-7C4333B37FE4}">
  <ds:schemaRefs/>
</ds:datastoreItem>
</file>

<file path=customXml/itemProps3.xml><?xml version="1.0" encoding="utf-8"?>
<ds:datastoreItem xmlns:ds="http://schemas.openxmlformats.org/officeDocument/2006/customXml" ds:itemID="{4F156B33-FE54-4BF7-8206-606715473FFD}">
  <ds:schemaRefs/>
</ds:datastoreItem>
</file>

<file path=customXml/itemProps4.xml><?xml version="1.0" encoding="utf-8"?>
<ds:datastoreItem xmlns:ds="http://schemas.openxmlformats.org/officeDocument/2006/customXml" ds:itemID="{04BF5348-08CE-46A2-B6C7-D667930F0DC1}">
  <ds:schemaRefs/>
</ds:datastoreItem>
</file>

<file path=customXml/itemProps5.xml><?xml version="1.0" encoding="utf-8"?>
<ds:datastoreItem xmlns:ds="http://schemas.openxmlformats.org/officeDocument/2006/customXml" ds:itemID="{DE437376-A7B6-47B7-A9FE-9D6C62534131}">
  <ds:schemaRefs/>
</ds:datastoreItem>
</file>

<file path=customXml/itemProps6.xml><?xml version="1.0" encoding="utf-8"?>
<ds:datastoreItem xmlns:ds="http://schemas.openxmlformats.org/officeDocument/2006/customXml" ds:itemID="{9C2FF60E-EDDE-47F2-966E-A40547D413B7}">
  <ds:schemaRefs/>
</ds:datastoreItem>
</file>

<file path=docProps/app.xml><?xml version="1.0" encoding="utf-8"?>
<Properties xmlns="http://schemas.openxmlformats.org/officeDocument/2006/extended-properties" xmlns:vt="http://schemas.openxmlformats.org/officeDocument/2006/docPropsVTypes">
  <Template>3gpp_70.dot</Template>
  <Company>ZTE Corporation</Company>
  <Pages>5</Pages>
  <Words>2586</Words>
  <Characters>14741</Characters>
  <Lines>122</Lines>
  <Paragraphs>34</Paragraphs>
  <TotalTime>155</TotalTime>
  <ScaleCrop>false</ScaleCrop>
  <LinksUpToDate>false</LinksUpToDate>
  <CharactersWithSpaces>17293</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2019-05-02T06:04:00Z</dcterms:created>
  <dc:creator>ZTE Corporation</dc:creator>
  <cp:lastModifiedBy>ZTE</cp:lastModifiedBy>
  <cp:lastPrinted>2018-04-07T03:05:00Z</cp:lastPrinted>
  <dcterms:modified xsi:type="dcterms:W3CDTF">2019-10-05T01:16:45Z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